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27" w:rsidRDefault="00AF1927" w:rsidP="00AF1927">
      <w:pPr>
        <w:pStyle w:val="Titolo"/>
        <w:spacing w:before="120" w:after="120"/>
        <w:outlineLvl w:val="0"/>
        <w:rPr>
          <w:rFonts w:ascii="Garamond" w:hAnsi="Garamond"/>
          <w:sz w:val="32"/>
          <w:szCs w:val="32"/>
        </w:rPr>
      </w:pPr>
      <w:r w:rsidRPr="00A16334">
        <w:rPr>
          <w:rFonts w:ascii="Garamond" w:hAnsi="Garamond"/>
          <w:sz w:val="32"/>
          <w:szCs w:val="32"/>
        </w:rPr>
        <w:t>20</w:t>
      </w:r>
      <w:r w:rsidRPr="00A16334">
        <w:rPr>
          <w:rFonts w:ascii="Garamond" w:hAnsi="Garamond"/>
          <w:sz w:val="32"/>
          <w:szCs w:val="32"/>
          <w:vertAlign w:val="superscript"/>
        </w:rPr>
        <w:t>a</w:t>
      </w:r>
      <w:r>
        <w:rPr>
          <w:rFonts w:ascii="Garamond" w:hAnsi="Garamond"/>
          <w:sz w:val="32"/>
          <w:szCs w:val="32"/>
        </w:rPr>
        <w:t xml:space="preserve"> Conferenza delle Parti d</w:t>
      </w:r>
      <w:r w:rsidRPr="00A16334">
        <w:rPr>
          <w:rFonts w:ascii="Garamond" w:hAnsi="Garamond"/>
          <w:sz w:val="32"/>
          <w:szCs w:val="32"/>
        </w:rPr>
        <w:t>ella Convenzi</w:t>
      </w:r>
      <w:r>
        <w:rPr>
          <w:rFonts w:ascii="Garamond" w:hAnsi="Garamond"/>
          <w:sz w:val="32"/>
          <w:szCs w:val="32"/>
        </w:rPr>
        <w:t>one Quadro delle Nazioni Unite s</w:t>
      </w:r>
      <w:r w:rsidRPr="00A16334">
        <w:rPr>
          <w:rFonts w:ascii="Garamond" w:hAnsi="Garamond"/>
          <w:sz w:val="32"/>
          <w:szCs w:val="32"/>
        </w:rPr>
        <w:t>ui Cam</w:t>
      </w:r>
      <w:r>
        <w:rPr>
          <w:rFonts w:ascii="Garamond" w:hAnsi="Garamond"/>
          <w:sz w:val="32"/>
          <w:szCs w:val="32"/>
        </w:rPr>
        <w:t>biamenti Climatici/10° Meeting delle Parti d</w:t>
      </w:r>
      <w:r w:rsidRPr="00A16334">
        <w:rPr>
          <w:rFonts w:ascii="Garamond" w:hAnsi="Garamond"/>
          <w:sz w:val="32"/>
          <w:szCs w:val="32"/>
        </w:rPr>
        <w:t>el Protocollo Di Kyoto</w:t>
      </w:r>
    </w:p>
    <w:p w:rsidR="00AF1927" w:rsidRPr="00A16334" w:rsidRDefault="00AF1927" w:rsidP="00AF1927">
      <w:pPr>
        <w:pStyle w:val="Titolo"/>
        <w:spacing w:before="120" w:after="120"/>
        <w:outlineLvl w:val="0"/>
        <w:rPr>
          <w:rFonts w:ascii="Garamond" w:hAnsi="Garamond"/>
          <w:sz w:val="32"/>
          <w:szCs w:val="32"/>
        </w:rPr>
      </w:pPr>
    </w:p>
    <w:p w:rsidR="00AF1927" w:rsidRPr="00A16334" w:rsidRDefault="00AF1927" w:rsidP="00AF1927">
      <w:pPr>
        <w:spacing w:before="120" w:after="120"/>
        <w:jc w:val="center"/>
        <w:rPr>
          <w:rFonts w:ascii="Garamond" w:hAnsi="Garamond"/>
          <w:b/>
          <w:bCs/>
          <w:sz w:val="32"/>
          <w:szCs w:val="32"/>
        </w:rPr>
      </w:pPr>
      <w:r w:rsidRPr="00A16334">
        <w:rPr>
          <w:rFonts w:ascii="Garamond" w:hAnsi="Garamond"/>
          <w:b/>
          <w:bCs/>
          <w:sz w:val="32"/>
          <w:szCs w:val="32"/>
        </w:rPr>
        <w:t>1-12 Dicembre 2014</w:t>
      </w:r>
    </w:p>
    <w:p w:rsidR="00AF1927" w:rsidRPr="00A16334" w:rsidRDefault="00AF1927" w:rsidP="00AF1927">
      <w:pPr>
        <w:spacing w:before="120" w:after="120"/>
        <w:jc w:val="center"/>
        <w:outlineLvl w:val="0"/>
        <w:rPr>
          <w:rFonts w:ascii="Garamond" w:hAnsi="Garamond"/>
          <w:b/>
          <w:bCs/>
          <w:sz w:val="32"/>
          <w:szCs w:val="32"/>
        </w:rPr>
      </w:pPr>
      <w:r w:rsidRPr="00A16334">
        <w:rPr>
          <w:rFonts w:ascii="Garamond" w:hAnsi="Garamond"/>
          <w:b/>
          <w:bCs/>
          <w:sz w:val="32"/>
          <w:szCs w:val="32"/>
        </w:rPr>
        <w:t>Lima</w:t>
      </w:r>
    </w:p>
    <w:p w:rsidR="00AF1927" w:rsidRDefault="00AF1927" w:rsidP="00AF1927">
      <w:pPr>
        <w:spacing w:line="276" w:lineRule="auto"/>
        <w:outlineLvl w:val="0"/>
        <w:rPr>
          <w:rFonts w:ascii="Garamond" w:hAnsi="Garamond"/>
          <w:sz w:val="28"/>
          <w:szCs w:val="28"/>
        </w:rPr>
      </w:pPr>
      <w:r w:rsidRPr="008474B2">
        <w:rPr>
          <w:rFonts w:ascii="Garamond" w:hAnsi="Garamond"/>
          <w:sz w:val="28"/>
          <w:szCs w:val="28"/>
        </w:rPr>
        <w:t xml:space="preserve">Dal 1 dicembre </w:t>
      </w:r>
      <w:r>
        <w:rPr>
          <w:rFonts w:ascii="Garamond" w:hAnsi="Garamond"/>
          <w:sz w:val="28"/>
          <w:szCs w:val="28"/>
        </w:rPr>
        <w:t xml:space="preserve">è in corso </w:t>
      </w:r>
      <w:r w:rsidRPr="008474B2">
        <w:rPr>
          <w:rFonts w:ascii="Garamond" w:hAnsi="Garamond"/>
          <w:sz w:val="28"/>
          <w:szCs w:val="28"/>
        </w:rPr>
        <w:t>a Lima la 20a Conferenza Delle Parti Della Convenzione Quadro Delle Nazioni Unite Sui Cambiamenti Climatici/10° Meeting Delle Parti Del Protocollo Di Kyoto ed</w:t>
      </w:r>
      <w:r>
        <w:rPr>
          <w:rFonts w:ascii="Garamond" w:hAnsi="Garamond"/>
          <w:sz w:val="28"/>
          <w:szCs w:val="28"/>
        </w:rPr>
        <w:t>,</w:t>
      </w:r>
      <w:r w:rsidRPr="008474B2">
        <w:rPr>
          <w:rFonts w:ascii="Garamond" w:hAnsi="Garamond"/>
          <w:sz w:val="28"/>
          <w:szCs w:val="28"/>
        </w:rPr>
        <w:t xml:space="preserve"> in qualità di Paese ospitante</w:t>
      </w:r>
      <w:r>
        <w:rPr>
          <w:rFonts w:ascii="Garamond" w:hAnsi="Garamond"/>
          <w:sz w:val="28"/>
          <w:szCs w:val="28"/>
        </w:rPr>
        <w:t>,</w:t>
      </w:r>
      <w:r w:rsidRPr="008474B2">
        <w:rPr>
          <w:rFonts w:ascii="Garamond" w:hAnsi="Garamond"/>
          <w:sz w:val="28"/>
          <w:szCs w:val="28"/>
        </w:rPr>
        <w:t xml:space="preserve"> il Perù sarà Presidente della Conferenza. </w:t>
      </w:r>
    </w:p>
    <w:p w:rsidR="00455558" w:rsidRDefault="00455558" w:rsidP="00AF1927">
      <w:pPr>
        <w:spacing w:line="276" w:lineRule="auto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 Martedì 9 la conferenza entrerà nel vivo con la sessione “ministeriale” che si concluderà il 12 dicembre con la definizione delle intese in vista della COP21 e della CMP11 che si svolgeranno alla fine del 2015 a Parigi.</w:t>
      </w:r>
    </w:p>
    <w:p w:rsidR="00455558" w:rsidRDefault="00455558" w:rsidP="00AF1927">
      <w:pPr>
        <w:spacing w:line="276" w:lineRule="auto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delegazione italiana a Lima sarà guidata dal Ministro dell’Ambiente Gian Luca Galletti che in qualità di Presidente di turno dell’UE, rappresenterà formalmente nella Conferenza la posizione dell’Unione Europea.</w:t>
      </w:r>
    </w:p>
    <w:p w:rsidR="00AF1927" w:rsidRDefault="00AF1927" w:rsidP="00AF1927">
      <w:pPr>
        <w:spacing w:line="276" w:lineRule="auto"/>
        <w:outlineLvl w:val="0"/>
        <w:rPr>
          <w:rFonts w:ascii="Garamond" w:hAnsi="Garamond"/>
          <w:sz w:val="28"/>
          <w:szCs w:val="28"/>
        </w:rPr>
      </w:pPr>
    </w:p>
    <w:p w:rsidR="00AF1927" w:rsidRDefault="00AF1927" w:rsidP="00AF1927">
      <w:pPr>
        <w:spacing w:line="276" w:lineRule="auto"/>
        <w:outlineLvl w:val="0"/>
        <w:rPr>
          <w:rFonts w:ascii="Garamond" w:hAnsi="Garamond"/>
          <w:sz w:val="28"/>
          <w:szCs w:val="28"/>
        </w:rPr>
      </w:pPr>
      <w:r w:rsidRPr="008474B2">
        <w:rPr>
          <w:rFonts w:ascii="Garamond" w:hAnsi="Garamond"/>
          <w:sz w:val="28"/>
          <w:szCs w:val="28"/>
        </w:rPr>
        <w:t xml:space="preserve">La </w:t>
      </w:r>
      <w:r w:rsidRPr="005713FF">
        <w:rPr>
          <w:rFonts w:ascii="Garamond" w:hAnsi="Garamond"/>
          <w:b/>
          <w:sz w:val="28"/>
          <w:szCs w:val="28"/>
        </w:rPr>
        <w:t>Conferenza delle Parti (</w:t>
      </w:r>
      <w:proofErr w:type="spellStart"/>
      <w:r>
        <w:rPr>
          <w:rFonts w:ascii="Garamond" w:hAnsi="Garamond"/>
          <w:b/>
          <w:sz w:val="28"/>
          <w:szCs w:val="28"/>
        </w:rPr>
        <w:t>Conference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of</w:t>
      </w:r>
      <w:proofErr w:type="spellEnd"/>
      <w:r>
        <w:rPr>
          <w:rFonts w:ascii="Garamond" w:hAnsi="Garamond"/>
          <w:b/>
          <w:sz w:val="28"/>
          <w:szCs w:val="28"/>
        </w:rPr>
        <w:t xml:space="preserve"> the </w:t>
      </w:r>
      <w:proofErr w:type="spellStart"/>
      <w:r>
        <w:rPr>
          <w:rFonts w:ascii="Garamond" w:hAnsi="Garamond"/>
          <w:b/>
          <w:sz w:val="28"/>
          <w:szCs w:val="28"/>
        </w:rPr>
        <w:t>Parties</w:t>
      </w:r>
      <w:proofErr w:type="spellEnd"/>
      <w:r>
        <w:rPr>
          <w:rFonts w:ascii="Garamond" w:hAnsi="Garamond"/>
          <w:b/>
          <w:sz w:val="28"/>
          <w:szCs w:val="28"/>
        </w:rPr>
        <w:t xml:space="preserve"> - </w:t>
      </w:r>
      <w:r w:rsidRPr="005713FF">
        <w:rPr>
          <w:rFonts w:ascii="Garamond" w:hAnsi="Garamond"/>
          <w:b/>
          <w:sz w:val="28"/>
          <w:szCs w:val="28"/>
        </w:rPr>
        <w:t>COP</w:t>
      </w:r>
      <w:r>
        <w:rPr>
          <w:rFonts w:ascii="Garamond" w:hAnsi="Garamond"/>
          <w:b/>
          <w:sz w:val="28"/>
          <w:szCs w:val="28"/>
        </w:rPr>
        <w:t>, dove le Parti sono quelle delle Convenzione Quadro sui cambiamenti climatici</w:t>
      </w:r>
      <w:r w:rsidRPr="005713FF">
        <w:rPr>
          <w:rFonts w:ascii="Garamond" w:hAnsi="Garamond"/>
          <w:b/>
          <w:sz w:val="28"/>
          <w:szCs w:val="28"/>
        </w:rPr>
        <w:t>)</w:t>
      </w:r>
      <w:r w:rsidRPr="008474B2">
        <w:rPr>
          <w:rFonts w:ascii="Garamond" w:hAnsi="Garamond"/>
          <w:sz w:val="28"/>
          <w:szCs w:val="28"/>
        </w:rPr>
        <w:t xml:space="preserve"> è l’organo decisionale</w:t>
      </w:r>
      <w:r>
        <w:rPr>
          <w:rFonts w:ascii="Garamond" w:hAnsi="Garamond"/>
          <w:sz w:val="28"/>
          <w:szCs w:val="28"/>
        </w:rPr>
        <w:t xml:space="preserve"> politico</w:t>
      </w:r>
      <w:r w:rsidRPr="008474B2">
        <w:rPr>
          <w:rFonts w:ascii="Garamond" w:hAnsi="Garamond"/>
          <w:sz w:val="28"/>
          <w:szCs w:val="28"/>
        </w:rPr>
        <w:t xml:space="preserve"> della Convenzione e pertanto rappresenta l’appuntamento neg</w:t>
      </w:r>
      <w:r>
        <w:rPr>
          <w:rFonts w:ascii="Garamond" w:hAnsi="Garamond"/>
          <w:sz w:val="28"/>
          <w:szCs w:val="28"/>
        </w:rPr>
        <w:t>oziale più importante dell’anno</w:t>
      </w:r>
      <w:r w:rsidRPr="008474B2">
        <w:rPr>
          <w:rFonts w:ascii="Garamond" w:hAnsi="Garamond"/>
          <w:sz w:val="28"/>
          <w:szCs w:val="28"/>
        </w:rPr>
        <w:t>.</w:t>
      </w:r>
    </w:p>
    <w:p w:rsidR="00AF1927" w:rsidRDefault="00AF1927" w:rsidP="00AF1927">
      <w:pPr>
        <w:spacing w:line="276" w:lineRule="auto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 svolge congiuntamente con il </w:t>
      </w:r>
      <w:r w:rsidRPr="008C1D46">
        <w:rPr>
          <w:rFonts w:ascii="Garamond" w:hAnsi="Garamond"/>
          <w:b/>
          <w:sz w:val="28"/>
          <w:szCs w:val="28"/>
        </w:rPr>
        <w:t>Meeting delle Parti (</w:t>
      </w:r>
      <w:proofErr w:type="spellStart"/>
      <w:r>
        <w:rPr>
          <w:rFonts w:ascii="Garamond" w:hAnsi="Garamond"/>
          <w:b/>
          <w:sz w:val="28"/>
          <w:szCs w:val="28"/>
        </w:rPr>
        <w:t>Conference</w:t>
      </w:r>
      <w:proofErr w:type="spellEnd"/>
      <w:r>
        <w:rPr>
          <w:rFonts w:ascii="Garamond" w:hAnsi="Garamond"/>
          <w:b/>
          <w:sz w:val="28"/>
          <w:szCs w:val="28"/>
        </w:rPr>
        <w:t xml:space="preserve">/Meeting </w:t>
      </w:r>
      <w:proofErr w:type="spellStart"/>
      <w:r>
        <w:rPr>
          <w:rFonts w:ascii="Garamond" w:hAnsi="Garamond"/>
          <w:b/>
          <w:sz w:val="28"/>
          <w:szCs w:val="28"/>
        </w:rPr>
        <w:t>of</w:t>
      </w:r>
      <w:proofErr w:type="spellEnd"/>
      <w:r>
        <w:rPr>
          <w:rFonts w:ascii="Garamond" w:hAnsi="Garamond"/>
          <w:b/>
          <w:sz w:val="28"/>
          <w:szCs w:val="28"/>
        </w:rPr>
        <w:t xml:space="preserve"> the </w:t>
      </w:r>
      <w:proofErr w:type="spellStart"/>
      <w:r>
        <w:rPr>
          <w:rFonts w:ascii="Garamond" w:hAnsi="Garamond"/>
          <w:b/>
          <w:sz w:val="28"/>
          <w:szCs w:val="28"/>
        </w:rPr>
        <w:t>Parties</w:t>
      </w:r>
      <w:proofErr w:type="spellEnd"/>
      <w:r>
        <w:rPr>
          <w:rFonts w:ascii="Garamond" w:hAnsi="Garamond"/>
          <w:b/>
          <w:sz w:val="28"/>
          <w:szCs w:val="28"/>
        </w:rPr>
        <w:t xml:space="preserve"> - C</w:t>
      </w:r>
      <w:r w:rsidRPr="008C1D46">
        <w:rPr>
          <w:rFonts w:ascii="Garamond" w:hAnsi="Garamond"/>
          <w:b/>
          <w:sz w:val="28"/>
          <w:szCs w:val="28"/>
        </w:rPr>
        <w:t>MP</w:t>
      </w:r>
      <w:r>
        <w:rPr>
          <w:rFonts w:ascii="Garamond" w:hAnsi="Garamond"/>
          <w:b/>
          <w:sz w:val="28"/>
          <w:szCs w:val="28"/>
        </w:rPr>
        <w:t xml:space="preserve"> dove le Parti sono quelle del Protocollo di Kyoto</w:t>
      </w:r>
      <w:r w:rsidRPr="008C1D46">
        <w:rPr>
          <w:rFonts w:ascii="Garamond" w:hAnsi="Garamond"/>
          <w:b/>
          <w:sz w:val="28"/>
          <w:szCs w:val="28"/>
        </w:rPr>
        <w:t>)</w:t>
      </w:r>
      <w:r w:rsidRPr="001C1E56">
        <w:rPr>
          <w:rFonts w:ascii="Garamond" w:hAnsi="Garamond"/>
          <w:sz w:val="28"/>
          <w:szCs w:val="28"/>
        </w:rPr>
        <w:t xml:space="preserve"> che rappresenta l’organo decision</w:t>
      </w:r>
      <w:r>
        <w:rPr>
          <w:rFonts w:ascii="Garamond" w:hAnsi="Garamond"/>
          <w:sz w:val="28"/>
          <w:szCs w:val="28"/>
        </w:rPr>
        <w:t>al</w:t>
      </w:r>
      <w:r w:rsidRPr="001C1E56">
        <w:rPr>
          <w:rFonts w:ascii="Garamond" w:hAnsi="Garamond"/>
          <w:sz w:val="28"/>
          <w:szCs w:val="28"/>
        </w:rPr>
        <w:t>e del Protocollo</w:t>
      </w:r>
      <w:r>
        <w:rPr>
          <w:rFonts w:ascii="Garamond" w:hAnsi="Garamond"/>
          <w:sz w:val="28"/>
          <w:szCs w:val="28"/>
        </w:rPr>
        <w:t>.</w:t>
      </w:r>
    </w:p>
    <w:p w:rsidR="00AF1927" w:rsidRDefault="00AF1927" w:rsidP="00AF1927">
      <w:pPr>
        <w:spacing w:line="276" w:lineRule="auto"/>
        <w:outlineLvl w:val="0"/>
        <w:rPr>
          <w:rFonts w:ascii="Garamond" w:hAnsi="Garamond"/>
          <w:sz w:val="28"/>
          <w:szCs w:val="28"/>
        </w:rPr>
      </w:pPr>
    </w:p>
    <w:p w:rsidR="00AF1927" w:rsidRPr="00925FB7" w:rsidRDefault="00AF1927" w:rsidP="00AF1927">
      <w:pPr>
        <w:spacing w:line="276" w:lineRule="auto"/>
        <w:ind w:hanging="11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Lima continueranno anche i negoziati per il raggiungimento dell’accordo globale nell’ambito della </w:t>
      </w:r>
      <w:r w:rsidRPr="00687EFF">
        <w:rPr>
          <w:rFonts w:ascii="Garamond" w:hAnsi="Garamond"/>
          <w:b/>
          <w:sz w:val="28"/>
          <w:szCs w:val="28"/>
        </w:rPr>
        <w:t xml:space="preserve">Ad hoc </w:t>
      </w:r>
      <w:proofErr w:type="spellStart"/>
      <w:r w:rsidRPr="00687EFF">
        <w:rPr>
          <w:rFonts w:ascii="Garamond" w:hAnsi="Garamond"/>
          <w:b/>
          <w:sz w:val="28"/>
          <w:szCs w:val="28"/>
        </w:rPr>
        <w:t>Working</w:t>
      </w:r>
      <w:proofErr w:type="spellEnd"/>
      <w:r w:rsidRPr="00687EFF">
        <w:rPr>
          <w:rFonts w:ascii="Garamond" w:hAnsi="Garamond"/>
          <w:b/>
          <w:sz w:val="28"/>
          <w:szCs w:val="28"/>
        </w:rPr>
        <w:t xml:space="preserve"> Group on the Durban </w:t>
      </w:r>
      <w:proofErr w:type="spellStart"/>
      <w:r w:rsidRPr="00687EFF">
        <w:rPr>
          <w:rFonts w:ascii="Garamond" w:hAnsi="Garamond"/>
          <w:b/>
          <w:sz w:val="28"/>
          <w:szCs w:val="28"/>
        </w:rPr>
        <w:t>Platform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Pr="00B13CDA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 xml:space="preserve"> </w:t>
      </w:r>
      <w:r w:rsidRPr="00B13CDA">
        <w:rPr>
          <w:rFonts w:ascii="Garamond" w:hAnsi="Garamond"/>
          <w:b/>
          <w:sz w:val="28"/>
          <w:szCs w:val="28"/>
        </w:rPr>
        <w:t xml:space="preserve">Durban </w:t>
      </w:r>
      <w:proofErr w:type="spellStart"/>
      <w:r w:rsidRPr="00B13CDA">
        <w:rPr>
          <w:rFonts w:ascii="Garamond" w:hAnsi="Garamond"/>
          <w:b/>
          <w:sz w:val="28"/>
          <w:szCs w:val="28"/>
        </w:rPr>
        <w:t>Platform</w:t>
      </w:r>
      <w:proofErr w:type="spellEnd"/>
      <w:r>
        <w:rPr>
          <w:rFonts w:ascii="Garamond" w:hAnsi="Garamond"/>
          <w:sz w:val="28"/>
          <w:szCs w:val="28"/>
        </w:rPr>
        <w:t xml:space="preserve"> o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semplicemente </w:t>
      </w:r>
      <w:r>
        <w:rPr>
          <w:rFonts w:ascii="Garamond" w:hAnsi="Garamond"/>
          <w:b/>
          <w:sz w:val="28"/>
          <w:szCs w:val="28"/>
        </w:rPr>
        <w:t>ADP</w:t>
      </w:r>
      <w:r w:rsidRPr="00925FB7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istituita al termine del</w:t>
      </w:r>
      <w:r w:rsidRPr="00925FB7">
        <w:rPr>
          <w:rFonts w:ascii="Garamond" w:hAnsi="Garamond"/>
          <w:sz w:val="28"/>
          <w:szCs w:val="28"/>
        </w:rPr>
        <w:t>la Conferenza delle Parti svoltasi a Durban nel dicembre 2011</w:t>
      </w:r>
      <w:r>
        <w:rPr>
          <w:rFonts w:ascii="Garamond" w:hAnsi="Garamond"/>
          <w:sz w:val="28"/>
          <w:szCs w:val="28"/>
        </w:rPr>
        <w:t xml:space="preserve"> e che dovrà concludere i suoi lavori entro il 2015 a Parigi</w:t>
      </w:r>
      <w:r w:rsidRPr="00925FB7">
        <w:rPr>
          <w:rFonts w:ascii="Garamond" w:hAnsi="Garamond"/>
          <w:sz w:val="28"/>
          <w:szCs w:val="28"/>
        </w:rPr>
        <w:t>.</w:t>
      </w:r>
    </w:p>
    <w:p w:rsidR="00AF1927" w:rsidRDefault="00AF1927" w:rsidP="00AF1927">
      <w:pPr>
        <w:spacing w:line="276" w:lineRule="auto"/>
        <w:ind w:hanging="11"/>
        <w:outlineLvl w:val="0"/>
        <w:rPr>
          <w:rFonts w:ascii="Garamond" w:hAnsi="Garamond"/>
          <w:sz w:val="28"/>
          <w:szCs w:val="28"/>
        </w:rPr>
      </w:pPr>
    </w:p>
    <w:p w:rsidR="00AF1927" w:rsidRPr="008474B2" w:rsidRDefault="00AF1927" w:rsidP="00AF1927">
      <w:pPr>
        <w:spacing w:line="276" w:lineRule="auto"/>
        <w:ind w:hanging="11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</w:t>
      </w:r>
      <w:r w:rsidRPr="008474B2">
        <w:rPr>
          <w:rFonts w:ascii="Garamond" w:hAnsi="Garamond"/>
          <w:sz w:val="28"/>
          <w:szCs w:val="28"/>
        </w:rPr>
        <w:t xml:space="preserve">a </w:t>
      </w:r>
      <w:r w:rsidRPr="00BF739C">
        <w:rPr>
          <w:rFonts w:ascii="Garamond" w:hAnsi="Garamond"/>
          <w:b/>
          <w:sz w:val="28"/>
          <w:szCs w:val="28"/>
        </w:rPr>
        <w:t>posizione dell</w:t>
      </w:r>
      <w:r>
        <w:rPr>
          <w:rFonts w:ascii="Garamond" w:hAnsi="Garamond"/>
          <w:b/>
          <w:sz w:val="28"/>
          <w:szCs w:val="28"/>
        </w:rPr>
        <w:t>’</w:t>
      </w:r>
      <w:r w:rsidRPr="00BF739C">
        <w:rPr>
          <w:rFonts w:ascii="Garamond" w:hAnsi="Garamond"/>
          <w:b/>
          <w:sz w:val="28"/>
          <w:szCs w:val="28"/>
        </w:rPr>
        <w:t>U</w:t>
      </w:r>
      <w:r>
        <w:rPr>
          <w:rFonts w:ascii="Garamond" w:hAnsi="Garamond"/>
          <w:b/>
          <w:sz w:val="28"/>
          <w:szCs w:val="28"/>
        </w:rPr>
        <w:t xml:space="preserve">nione </w:t>
      </w:r>
      <w:r w:rsidRPr="00BF739C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>uropea</w:t>
      </w:r>
      <w:r w:rsidRPr="008474B2">
        <w:rPr>
          <w:rFonts w:ascii="Garamond" w:hAnsi="Garamond"/>
          <w:sz w:val="28"/>
          <w:szCs w:val="28"/>
        </w:rPr>
        <w:t xml:space="preserve"> è stata formalizzata attraverso l’adozione delle Conclusioni del Consiglio dei Ministri che si è svolto lo scorso </w:t>
      </w:r>
      <w:r>
        <w:rPr>
          <w:rFonts w:ascii="Garamond" w:hAnsi="Garamond"/>
          <w:sz w:val="28"/>
          <w:szCs w:val="28"/>
        </w:rPr>
        <w:t>28</w:t>
      </w:r>
      <w:r w:rsidRPr="008474B2">
        <w:rPr>
          <w:rFonts w:ascii="Garamond" w:hAnsi="Garamond"/>
          <w:sz w:val="28"/>
          <w:szCs w:val="28"/>
        </w:rPr>
        <w:t xml:space="preserve"> ottobre</w:t>
      </w:r>
      <w:r>
        <w:rPr>
          <w:rFonts w:ascii="Garamond" w:hAnsi="Garamond"/>
          <w:sz w:val="28"/>
          <w:szCs w:val="28"/>
        </w:rPr>
        <w:t xml:space="preserve"> in Lussemburgo</w:t>
      </w:r>
      <w:r w:rsidRPr="008474B2">
        <w:rPr>
          <w:rFonts w:ascii="Garamond" w:hAnsi="Garamond"/>
          <w:sz w:val="28"/>
          <w:szCs w:val="28"/>
        </w:rPr>
        <w:t>.</w:t>
      </w:r>
    </w:p>
    <w:p w:rsidR="00AF1927" w:rsidRDefault="00AF1927" w:rsidP="00AF1927">
      <w:pPr>
        <w:spacing w:after="120"/>
        <w:ind w:hanging="11"/>
        <w:outlineLvl w:val="0"/>
        <w:rPr>
          <w:rFonts w:ascii="Garamond" w:hAnsi="Garamond"/>
          <w:b/>
          <w:sz w:val="28"/>
          <w:szCs w:val="28"/>
          <w:u w:val="single"/>
        </w:rPr>
      </w:pPr>
    </w:p>
    <w:p w:rsidR="00AF1927" w:rsidRPr="0023228F" w:rsidRDefault="00AF1927" w:rsidP="00AF1927">
      <w:pPr>
        <w:spacing w:after="120"/>
        <w:ind w:hanging="11"/>
        <w:outlineLvl w:val="0"/>
        <w:rPr>
          <w:rFonts w:ascii="Garamond" w:hAnsi="Garamond"/>
          <w:b/>
          <w:sz w:val="28"/>
          <w:szCs w:val="28"/>
          <w:u w:val="single"/>
        </w:rPr>
      </w:pPr>
      <w:r w:rsidRPr="0023228F">
        <w:rPr>
          <w:rFonts w:ascii="Garamond" w:hAnsi="Garamond"/>
          <w:b/>
          <w:sz w:val="28"/>
          <w:szCs w:val="28"/>
          <w:u w:val="single"/>
        </w:rPr>
        <w:t xml:space="preserve">STATO DEL NEGOZIATO </w:t>
      </w:r>
    </w:p>
    <w:p w:rsidR="00AF1927" w:rsidRPr="00687EFF" w:rsidRDefault="00AF1927" w:rsidP="00AF1927">
      <w:pPr>
        <w:spacing w:line="276" w:lineRule="auto"/>
        <w:ind w:hanging="11"/>
        <w:outlineLvl w:val="0"/>
        <w:rPr>
          <w:rFonts w:ascii="Garamond" w:hAnsi="Garamond"/>
          <w:sz w:val="28"/>
          <w:szCs w:val="28"/>
        </w:rPr>
      </w:pPr>
      <w:r w:rsidRPr="00687EFF">
        <w:rPr>
          <w:rFonts w:ascii="Garamond" w:hAnsi="Garamond"/>
          <w:sz w:val="28"/>
          <w:szCs w:val="28"/>
        </w:rPr>
        <w:lastRenderedPageBreak/>
        <w:t>Il Protocollo di Kyoto alla Convenzione quadro delle Nazioni Unite sui Cambiamenti Climatici (UNFCCC)</w:t>
      </w:r>
      <w:r w:rsidRPr="00687EFF">
        <w:rPr>
          <w:rFonts w:ascii="Garamond" w:hAnsi="Garamond"/>
          <w:sz w:val="28"/>
          <w:szCs w:val="28"/>
          <w:vertAlign w:val="superscript"/>
        </w:rPr>
        <w:footnoteReference w:id="1"/>
      </w:r>
      <w:r w:rsidRPr="00687EFF">
        <w:rPr>
          <w:rFonts w:ascii="Garamond" w:hAnsi="Garamond"/>
          <w:sz w:val="28"/>
          <w:szCs w:val="28"/>
        </w:rPr>
        <w:t xml:space="preserve"> rappresenta al momento l’unico trattato internazionale globale finalizzato a ridurre le emissioni di gas ad effetto serra</w:t>
      </w:r>
      <w:r w:rsidRPr="00687EFF">
        <w:rPr>
          <w:rFonts w:ascii="Garamond" w:hAnsi="Garamond"/>
          <w:sz w:val="28"/>
          <w:szCs w:val="28"/>
          <w:vertAlign w:val="superscript"/>
        </w:rPr>
        <w:footnoteReference w:id="2"/>
      </w:r>
      <w:r w:rsidRPr="00687EFF">
        <w:rPr>
          <w:rFonts w:ascii="Garamond" w:hAnsi="Garamond"/>
          <w:sz w:val="28"/>
          <w:szCs w:val="28"/>
        </w:rPr>
        <w:t xml:space="preserve"> (GHG) individuate come i maggiori responsabili dell’aumento della temperatura del pianeta (“cambiamenti climatici”). Il Protocollo di Kyoto è entrato in vigore nel febbraio 2005 e regolamenta tali emissioni per il periodo 2008-2012. </w:t>
      </w:r>
    </w:p>
    <w:p w:rsidR="00AF1927" w:rsidRPr="00687EFF" w:rsidRDefault="00AF1927" w:rsidP="00AF1927">
      <w:pPr>
        <w:spacing w:line="276" w:lineRule="auto"/>
        <w:ind w:hanging="11"/>
        <w:outlineLvl w:val="0"/>
        <w:rPr>
          <w:rFonts w:ascii="Garamond" w:hAnsi="Garamond"/>
          <w:sz w:val="28"/>
          <w:szCs w:val="28"/>
        </w:rPr>
      </w:pPr>
      <w:r w:rsidRPr="00687EFF">
        <w:rPr>
          <w:rFonts w:ascii="Garamond" w:hAnsi="Garamond"/>
          <w:sz w:val="28"/>
          <w:szCs w:val="28"/>
        </w:rPr>
        <w:t xml:space="preserve">Poiché il Protocollo di Kyoto regolamenta le emissioni solo per il periodo 2008-2012, la Comunità internazionale ha ritenuto necessario avviare il negoziato per giungere all’adozione di uno strumento legalmente vincolante per la riduzione delle emissioni di GHG per il periodo post-2012. </w:t>
      </w:r>
    </w:p>
    <w:p w:rsidR="00AF1927" w:rsidRPr="00687EFF" w:rsidRDefault="00AF1927" w:rsidP="00AF1927">
      <w:pPr>
        <w:spacing w:line="276" w:lineRule="auto"/>
        <w:ind w:hanging="11"/>
        <w:outlineLvl w:val="0"/>
        <w:rPr>
          <w:rFonts w:ascii="Garamond" w:hAnsi="Garamond"/>
          <w:sz w:val="28"/>
          <w:szCs w:val="28"/>
        </w:rPr>
      </w:pPr>
      <w:r w:rsidRPr="00687EFF">
        <w:rPr>
          <w:rFonts w:ascii="Garamond" w:hAnsi="Garamond"/>
          <w:sz w:val="28"/>
          <w:szCs w:val="28"/>
        </w:rPr>
        <w:t>Tuttavia permangono ancora numerose divergenze sullo strumento più idoneo per assicurare la protezione del clima globale nel medio/lungo periodo, e, al fine di assicurare la continuità dell’azione, è stato adottato un approccio che può essere definito “per fasi”: alcun</w:t>
      </w:r>
      <w:r>
        <w:rPr>
          <w:rFonts w:ascii="Garamond" w:hAnsi="Garamond"/>
          <w:sz w:val="28"/>
          <w:szCs w:val="28"/>
        </w:rPr>
        <w:t>e Parti</w:t>
      </w:r>
      <w:r w:rsidRPr="00687EFF">
        <w:rPr>
          <w:rStyle w:val="Rimandonotaapidipagina"/>
          <w:rFonts w:ascii="Garamond" w:hAnsi="Garamond"/>
          <w:sz w:val="28"/>
          <w:szCs w:val="28"/>
        </w:rPr>
        <w:footnoteReference w:id="3"/>
      </w:r>
      <w:r w:rsidRPr="00687EFF">
        <w:rPr>
          <w:rFonts w:ascii="Garamond" w:hAnsi="Garamond"/>
          <w:sz w:val="28"/>
          <w:szCs w:val="28"/>
        </w:rPr>
        <w:t xml:space="preserve">, tra cui la UE, nel corso della Conferenza delle Parti di Doha (2012) hanno sottoscritto il secondo periodo di impegno di Kyoto per il periodo 2013-2020 (in particolare la UE si è impegnata unilateralmente a ridurre le emissioni di gas ad effetto serra del -20% rispetto ai livelli del 1990 entro il 2020 e del -30% nel caso in cui nel contesto multilaterale si raggiunga un accordo legalmente vincolante che veda tutti i maggiori Paesi impegnati nella riduzione delle emissioni di gas ad effetto serra). </w:t>
      </w:r>
      <w:r>
        <w:rPr>
          <w:rFonts w:ascii="Garamond" w:hAnsi="Garamond"/>
          <w:sz w:val="28"/>
          <w:szCs w:val="28"/>
        </w:rPr>
        <w:t xml:space="preserve">Tale accordo (emendamento di Doha) e’ soggetto a ratifica e non e’ ancora entrato in vigore. </w:t>
      </w:r>
      <w:r w:rsidRPr="00687EFF">
        <w:rPr>
          <w:rFonts w:ascii="Garamond" w:hAnsi="Garamond"/>
          <w:sz w:val="28"/>
          <w:szCs w:val="28"/>
        </w:rPr>
        <w:t xml:space="preserve">Contestualmente stanno proseguendo i negoziati </w:t>
      </w:r>
    </w:p>
    <w:p w:rsidR="00AF1927" w:rsidRPr="00687EFF" w:rsidRDefault="00AF1927" w:rsidP="00AF1927">
      <w:pPr>
        <w:pStyle w:val="Paragrafoelenco"/>
        <w:numPr>
          <w:ilvl w:val="0"/>
          <w:numId w:val="1"/>
        </w:numPr>
        <w:spacing w:line="276" w:lineRule="auto"/>
        <w:outlineLvl w:val="0"/>
        <w:rPr>
          <w:rFonts w:ascii="Garamond" w:hAnsi="Garamond"/>
          <w:sz w:val="28"/>
          <w:szCs w:val="28"/>
        </w:rPr>
      </w:pPr>
      <w:r w:rsidRPr="00687EFF">
        <w:rPr>
          <w:rFonts w:ascii="Garamond" w:hAnsi="Garamond"/>
          <w:sz w:val="28"/>
          <w:szCs w:val="28"/>
        </w:rPr>
        <w:t xml:space="preserve">per giungere ad un </w:t>
      </w:r>
      <w:r w:rsidRPr="0031143C">
        <w:rPr>
          <w:rFonts w:ascii="Garamond" w:hAnsi="Garamond"/>
          <w:b/>
          <w:sz w:val="28"/>
          <w:szCs w:val="28"/>
        </w:rPr>
        <w:t>accordo unico che a partire dal 2020 regoli le emissioni di gas serra per tutti i Paesi</w:t>
      </w:r>
      <w:r w:rsidRPr="00687EFF">
        <w:rPr>
          <w:rFonts w:ascii="Garamond" w:hAnsi="Garamond"/>
          <w:sz w:val="28"/>
          <w:szCs w:val="28"/>
        </w:rPr>
        <w:t>;</w:t>
      </w:r>
    </w:p>
    <w:p w:rsidR="00AF1927" w:rsidRPr="00687EFF" w:rsidRDefault="00AF1927" w:rsidP="00AF1927">
      <w:pPr>
        <w:pStyle w:val="Paragrafoelenco"/>
        <w:numPr>
          <w:ilvl w:val="0"/>
          <w:numId w:val="1"/>
        </w:numPr>
        <w:spacing w:line="276" w:lineRule="auto"/>
        <w:outlineLvl w:val="0"/>
        <w:rPr>
          <w:rFonts w:ascii="Garamond" w:hAnsi="Garamond"/>
          <w:sz w:val="28"/>
          <w:szCs w:val="28"/>
        </w:rPr>
      </w:pPr>
      <w:r w:rsidRPr="00687EFF">
        <w:rPr>
          <w:rFonts w:ascii="Garamond" w:hAnsi="Garamond"/>
          <w:sz w:val="28"/>
          <w:szCs w:val="28"/>
        </w:rPr>
        <w:t xml:space="preserve">per individuare possibili </w:t>
      </w:r>
      <w:r w:rsidRPr="0031143C">
        <w:rPr>
          <w:rFonts w:ascii="Garamond" w:hAnsi="Garamond"/>
          <w:b/>
          <w:sz w:val="28"/>
          <w:szCs w:val="28"/>
        </w:rPr>
        <w:t xml:space="preserve">azioni da attuare prima del 2020 </w:t>
      </w:r>
      <w:r w:rsidRPr="00687EFF">
        <w:rPr>
          <w:rFonts w:ascii="Garamond" w:hAnsi="Garamond"/>
          <w:sz w:val="28"/>
          <w:szCs w:val="28"/>
        </w:rPr>
        <w:t>(nel gergo negoziale in generale si fa riferimento a questa tematica come “</w:t>
      </w:r>
      <w:r w:rsidRPr="00687EFF">
        <w:rPr>
          <w:rFonts w:ascii="Garamond" w:hAnsi="Garamond"/>
          <w:i/>
          <w:sz w:val="28"/>
          <w:szCs w:val="28"/>
        </w:rPr>
        <w:t>ambizione pre-2020</w:t>
      </w:r>
      <w:r w:rsidRPr="00687EFF">
        <w:rPr>
          <w:rFonts w:ascii="Garamond" w:hAnsi="Garamond"/>
          <w:sz w:val="28"/>
          <w:szCs w:val="28"/>
        </w:rPr>
        <w:t>”).</w:t>
      </w:r>
    </w:p>
    <w:p w:rsidR="00AF1927" w:rsidRPr="00687EFF" w:rsidRDefault="00AF1927" w:rsidP="00AF1927">
      <w:pPr>
        <w:spacing w:line="276" w:lineRule="auto"/>
        <w:outlineLvl w:val="0"/>
        <w:rPr>
          <w:rFonts w:ascii="Garamond" w:hAnsi="Garamond"/>
          <w:sz w:val="28"/>
          <w:szCs w:val="28"/>
        </w:rPr>
      </w:pPr>
    </w:p>
    <w:p w:rsidR="00AF1927" w:rsidRPr="00687EFF" w:rsidRDefault="00AF1927" w:rsidP="00AF1927">
      <w:pPr>
        <w:spacing w:line="276" w:lineRule="auto"/>
        <w:ind w:hanging="11"/>
        <w:outlineLvl w:val="0"/>
        <w:rPr>
          <w:rFonts w:ascii="Garamond" w:hAnsi="Garamond"/>
          <w:sz w:val="28"/>
          <w:szCs w:val="28"/>
        </w:rPr>
      </w:pPr>
      <w:r w:rsidRPr="00687EFF">
        <w:rPr>
          <w:rFonts w:ascii="Garamond" w:hAnsi="Garamond"/>
          <w:sz w:val="28"/>
          <w:szCs w:val="28"/>
        </w:rPr>
        <w:t>Questi ultimi due “filoni negoziali” sono portati avanti nell’ambito di un Organo sussidiario della Convenzione, denominato “</w:t>
      </w:r>
      <w:r w:rsidRPr="00687EFF">
        <w:rPr>
          <w:rFonts w:ascii="Garamond" w:hAnsi="Garamond"/>
          <w:b/>
          <w:sz w:val="28"/>
          <w:szCs w:val="28"/>
        </w:rPr>
        <w:t xml:space="preserve">ADP” (Ad hoc </w:t>
      </w:r>
      <w:proofErr w:type="spellStart"/>
      <w:r w:rsidRPr="00687EFF">
        <w:rPr>
          <w:rFonts w:ascii="Garamond" w:hAnsi="Garamond"/>
          <w:b/>
          <w:sz w:val="28"/>
          <w:szCs w:val="28"/>
        </w:rPr>
        <w:t>Working</w:t>
      </w:r>
      <w:proofErr w:type="spellEnd"/>
      <w:r w:rsidRPr="00687EFF">
        <w:rPr>
          <w:rFonts w:ascii="Garamond" w:hAnsi="Garamond"/>
          <w:b/>
          <w:sz w:val="28"/>
          <w:szCs w:val="28"/>
        </w:rPr>
        <w:t xml:space="preserve"> Group on the Durban </w:t>
      </w:r>
      <w:proofErr w:type="spellStart"/>
      <w:r w:rsidRPr="00687EFF">
        <w:rPr>
          <w:rFonts w:ascii="Garamond" w:hAnsi="Garamond"/>
          <w:b/>
          <w:sz w:val="28"/>
          <w:szCs w:val="28"/>
        </w:rPr>
        <w:t>Platform</w:t>
      </w:r>
      <w:proofErr w:type="spellEnd"/>
      <w:r w:rsidRPr="00687EFF">
        <w:rPr>
          <w:rFonts w:ascii="Garamond" w:hAnsi="Garamond"/>
          <w:sz w:val="28"/>
          <w:szCs w:val="28"/>
        </w:rPr>
        <w:t>) e nel contesto negoziale si fa riferimento agli stessi rispettivamente come “</w:t>
      </w:r>
      <w:proofErr w:type="spellStart"/>
      <w:r w:rsidRPr="00687EFF">
        <w:rPr>
          <w:rFonts w:ascii="Garamond" w:hAnsi="Garamond"/>
          <w:b/>
          <w:sz w:val="28"/>
          <w:szCs w:val="28"/>
          <w:u w:val="single"/>
        </w:rPr>
        <w:t>Workstream</w:t>
      </w:r>
      <w:proofErr w:type="spellEnd"/>
      <w:r w:rsidRPr="00687EFF">
        <w:rPr>
          <w:rFonts w:ascii="Garamond" w:hAnsi="Garamond"/>
          <w:b/>
          <w:sz w:val="28"/>
          <w:szCs w:val="28"/>
          <w:u w:val="single"/>
        </w:rPr>
        <w:t xml:space="preserve"> 1</w:t>
      </w:r>
      <w:r w:rsidRPr="00687EFF">
        <w:rPr>
          <w:rFonts w:ascii="Garamond" w:hAnsi="Garamond"/>
          <w:sz w:val="28"/>
          <w:szCs w:val="28"/>
        </w:rPr>
        <w:t>” e “</w:t>
      </w:r>
      <w:proofErr w:type="spellStart"/>
      <w:r w:rsidRPr="00687EFF">
        <w:rPr>
          <w:rFonts w:ascii="Garamond" w:hAnsi="Garamond"/>
          <w:b/>
          <w:sz w:val="28"/>
          <w:szCs w:val="28"/>
          <w:u w:val="single"/>
        </w:rPr>
        <w:t>Workstream</w:t>
      </w:r>
      <w:proofErr w:type="spellEnd"/>
      <w:r w:rsidRPr="00687EFF">
        <w:rPr>
          <w:rFonts w:ascii="Garamond" w:hAnsi="Garamond"/>
          <w:b/>
          <w:sz w:val="28"/>
          <w:szCs w:val="28"/>
          <w:u w:val="single"/>
        </w:rPr>
        <w:t xml:space="preserve"> 2</w:t>
      </w:r>
      <w:r w:rsidRPr="00687EFF">
        <w:rPr>
          <w:rFonts w:ascii="Garamond" w:hAnsi="Garamond"/>
          <w:sz w:val="28"/>
          <w:szCs w:val="28"/>
        </w:rPr>
        <w:t xml:space="preserve">”. </w:t>
      </w:r>
    </w:p>
    <w:p w:rsidR="0002017B" w:rsidRDefault="003235A2"/>
    <w:sectPr w:rsidR="0002017B" w:rsidSect="001C3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A2" w:rsidRDefault="003235A2" w:rsidP="00AF1927">
      <w:r>
        <w:separator/>
      </w:r>
    </w:p>
  </w:endnote>
  <w:endnote w:type="continuationSeparator" w:id="0">
    <w:p w:rsidR="003235A2" w:rsidRDefault="003235A2" w:rsidP="00AF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A2" w:rsidRDefault="003235A2" w:rsidP="00AF1927">
      <w:r>
        <w:separator/>
      </w:r>
    </w:p>
  </w:footnote>
  <w:footnote w:type="continuationSeparator" w:id="0">
    <w:p w:rsidR="003235A2" w:rsidRDefault="003235A2" w:rsidP="00AF1927">
      <w:r>
        <w:continuationSeparator/>
      </w:r>
    </w:p>
  </w:footnote>
  <w:footnote w:id="1">
    <w:p w:rsidR="00AF1927" w:rsidRPr="00BA62BB" w:rsidRDefault="00AF1927" w:rsidP="00AF1927">
      <w:pPr>
        <w:pStyle w:val="Testonotaapidipagina"/>
        <w:rPr>
          <w:rFonts w:ascii="Garamond" w:hAnsi="Garamond"/>
        </w:rPr>
      </w:pPr>
      <w:r w:rsidRPr="00BA62BB">
        <w:rPr>
          <w:rStyle w:val="Rimandonotaapidipagina"/>
          <w:rFonts w:ascii="Garamond" w:hAnsi="Garamond"/>
        </w:rPr>
        <w:footnoteRef/>
      </w:r>
      <w:r w:rsidRPr="00BA62BB">
        <w:rPr>
          <w:rFonts w:ascii="Garamond" w:hAnsi="Garamond"/>
        </w:rPr>
        <w:t xml:space="preserve"> La Convenzione quadro delle Nazioni Unite sui Cambiamenti Climatici costituisce il quadro di riferimento per la lotta ai cambiamenti climatici a livello internazionale, ma al contrario del Protocollo di Kyoto, si pone quale obiettivo la stabilizzazione delle emissioni di gas ad effetto serra al 2000 rispetto al 1990 e non impegni di riduzione.</w:t>
      </w:r>
    </w:p>
  </w:footnote>
  <w:footnote w:id="2">
    <w:p w:rsidR="00AF1927" w:rsidRPr="00BA62BB" w:rsidRDefault="00AF1927" w:rsidP="00AF1927">
      <w:pPr>
        <w:pStyle w:val="Testonotaapidipagina"/>
        <w:rPr>
          <w:rFonts w:ascii="Garamond" w:hAnsi="Garamond"/>
        </w:rPr>
      </w:pPr>
      <w:r w:rsidRPr="00BA62BB">
        <w:rPr>
          <w:rStyle w:val="Rimandonotaapidipagina"/>
          <w:rFonts w:ascii="Garamond" w:hAnsi="Garamond"/>
        </w:rPr>
        <w:footnoteRef/>
      </w:r>
      <w:r w:rsidRPr="00BA62BB">
        <w:rPr>
          <w:rFonts w:ascii="Garamond" w:hAnsi="Garamond"/>
        </w:rPr>
        <w:t xml:space="preserve"> Anidride carbonica, protossido di azoto, metano, gli </w:t>
      </w:r>
      <w:proofErr w:type="spellStart"/>
      <w:r w:rsidRPr="00BA62BB">
        <w:rPr>
          <w:rFonts w:ascii="Garamond" w:hAnsi="Garamond"/>
        </w:rPr>
        <w:t>idrofluorocarburi</w:t>
      </w:r>
      <w:proofErr w:type="spellEnd"/>
      <w:r w:rsidRPr="00BA62BB">
        <w:rPr>
          <w:rFonts w:ascii="Garamond" w:hAnsi="Garamond"/>
        </w:rPr>
        <w:t xml:space="preserve">, </w:t>
      </w:r>
      <w:proofErr w:type="spellStart"/>
      <w:r w:rsidRPr="00BA62BB">
        <w:rPr>
          <w:rFonts w:ascii="Garamond" w:hAnsi="Garamond"/>
        </w:rPr>
        <w:t>perfluorocarburi</w:t>
      </w:r>
      <w:proofErr w:type="spellEnd"/>
      <w:r w:rsidRPr="00BA62BB">
        <w:rPr>
          <w:rFonts w:ascii="Garamond" w:hAnsi="Garamond"/>
        </w:rPr>
        <w:t xml:space="preserve"> e </w:t>
      </w:r>
      <w:proofErr w:type="spellStart"/>
      <w:r w:rsidRPr="00BA62BB">
        <w:rPr>
          <w:rFonts w:ascii="Garamond" w:hAnsi="Garamond"/>
        </w:rPr>
        <w:t>esafluoruro</w:t>
      </w:r>
      <w:proofErr w:type="spellEnd"/>
      <w:r w:rsidRPr="00BA62BB">
        <w:rPr>
          <w:rFonts w:ascii="Garamond" w:hAnsi="Garamond"/>
        </w:rPr>
        <w:t xml:space="preserve"> di zolfo.</w:t>
      </w:r>
    </w:p>
  </w:footnote>
  <w:footnote w:id="3">
    <w:p w:rsidR="00AF1927" w:rsidRDefault="00AF1927" w:rsidP="00AF19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</w:rPr>
        <w:t>UE, N</w:t>
      </w:r>
      <w:r w:rsidRPr="0019274E">
        <w:rPr>
          <w:rFonts w:ascii="Garamond" w:hAnsi="Garamond"/>
        </w:rPr>
        <w:t xml:space="preserve">orvegia, Croazia, Bielorussia, Ucraina, </w:t>
      </w:r>
      <w:proofErr w:type="spellStart"/>
      <w:r w:rsidRPr="0019274E">
        <w:rPr>
          <w:rFonts w:ascii="Garamond" w:hAnsi="Garamond"/>
        </w:rPr>
        <w:t>Kazakhastan</w:t>
      </w:r>
      <w:proofErr w:type="spellEnd"/>
      <w:r w:rsidRPr="0019274E">
        <w:rPr>
          <w:rFonts w:ascii="Garamond" w:hAnsi="Garamond"/>
        </w:rPr>
        <w:t xml:space="preserve">, Islanda, Australia, Svizzera, Monaco, </w:t>
      </w:r>
      <w:proofErr w:type="spellStart"/>
      <w:r w:rsidRPr="0019274E">
        <w:rPr>
          <w:rFonts w:ascii="Garamond" w:hAnsi="Garamond"/>
        </w:rPr>
        <w:t>Liechtestein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11310"/>
    <w:multiLevelType w:val="hybridMultilevel"/>
    <w:tmpl w:val="8440305A"/>
    <w:lvl w:ilvl="0" w:tplc="44EECBFE">
      <w:numFmt w:val="bullet"/>
      <w:lvlText w:val=""/>
      <w:lvlJc w:val="left"/>
      <w:pPr>
        <w:ind w:left="34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927"/>
    <w:rsid w:val="001C3DCF"/>
    <w:rsid w:val="003235A2"/>
    <w:rsid w:val="00325E82"/>
    <w:rsid w:val="00455558"/>
    <w:rsid w:val="00522F38"/>
    <w:rsid w:val="006002B0"/>
    <w:rsid w:val="008262D9"/>
    <w:rsid w:val="008C1194"/>
    <w:rsid w:val="00905272"/>
    <w:rsid w:val="00AF1927"/>
    <w:rsid w:val="00DB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927"/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1927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AF1927"/>
    <w:rPr>
      <w:rFonts w:ascii="Times New Roman" w:eastAsia="Times New Roman" w:hAnsi="Times New Roman" w:cs="Times New Roman"/>
      <w:b/>
      <w:bCs/>
      <w:lang w:eastAsia="it-IT"/>
    </w:rPr>
  </w:style>
  <w:style w:type="paragraph" w:styleId="Testonotaapidipagina">
    <w:name w:val="footnote text"/>
    <w:aliases w:val="Footnote Text Char,Footnote,stile 1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rsid w:val="00AF1927"/>
    <w:rPr>
      <w:sz w:val="20"/>
    </w:rPr>
  </w:style>
  <w:style w:type="character" w:customStyle="1" w:styleId="TestonotaapidipaginaCarattere">
    <w:name w:val="Testo nota a piè di pagina Carattere"/>
    <w:aliases w:val="Footnote Text Char Carattere,Footnote Carattere,stile 1 Carattere,Footnote1 Carattere,Footnote2 Carattere,Footnote3 Carattere,Footnote4 Carattere,Footnote5 Carattere,Footnote6 Carattere,Footnote7 Carattere"/>
    <w:basedOn w:val="Carpredefinitoparagrafo"/>
    <w:link w:val="Testonotaapidipagina"/>
    <w:rsid w:val="00AF1927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aliases w:val="-E Fußnotenzeichen,EN Footnote Reference,SUPERS"/>
    <w:basedOn w:val="Carpredefinitoparagrafo"/>
    <w:rsid w:val="00AF192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F1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2014-12-05T19:44:00Z</dcterms:created>
  <dcterms:modified xsi:type="dcterms:W3CDTF">2014-12-05T19:44:00Z</dcterms:modified>
</cp:coreProperties>
</file>