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B8" w:rsidRDefault="00281CB8" w:rsidP="000D0FD7">
      <w:pPr>
        <w:rPr>
          <w:rFonts w:ascii="Calibri" w:hAnsi="Calibri"/>
          <w:b/>
        </w:rPr>
      </w:pPr>
    </w:p>
    <w:p w:rsidR="00281CB8" w:rsidRDefault="00281CB8" w:rsidP="000D0FD7">
      <w:pPr>
        <w:rPr>
          <w:rFonts w:ascii="Calibri" w:hAnsi="Calibri"/>
          <w:b/>
        </w:rPr>
      </w:pPr>
    </w:p>
    <w:p w:rsidR="00281CB8" w:rsidRPr="00281CB8" w:rsidRDefault="00281CB8" w:rsidP="00281CB8">
      <w:pPr>
        <w:jc w:val="center"/>
        <w:rPr>
          <w:rFonts w:eastAsia="Arial Unicode MS"/>
          <w:b/>
          <w:i/>
          <w:noProof/>
          <w:szCs w:val="48"/>
        </w:rPr>
      </w:pPr>
      <w:r w:rsidRPr="00281CB8">
        <w:rPr>
          <w:noProof/>
          <w:sz w:val="1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-80010</wp:posOffset>
            </wp:positionV>
            <wp:extent cx="523240" cy="583565"/>
            <wp:effectExtent l="19050" t="0" r="0" b="0"/>
            <wp:wrapTopAndBottom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CB8">
        <w:rPr>
          <w:rFonts w:eastAsia="Arial Unicode MS"/>
          <w:b/>
          <w:i/>
          <w:noProof/>
          <w:szCs w:val="48"/>
        </w:rPr>
        <w:t>Il Ministero dell’Ambiente e della Tutela del Territorio e del Mare</w:t>
      </w:r>
    </w:p>
    <w:p w:rsidR="00281CB8" w:rsidRPr="00281CB8" w:rsidRDefault="00281CB8" w:rsidP="00281CB8">
      <w:pPr>
        <w:jc w:val="center"/>
        <w:rPr>
          <w:rFonts w:eastAsia="Arial Unicode MS"/>
          <w:b/>
          <w:i/>
          <w:noProof/>
          <w:szCs w:val="48"/>
        </w:rPr>
      </w:pPr>
      <w:r w:rsidRPr="00281CB8">
        <w:rPr>
          <w:rFonts w:eastAsia="Arial Unicode MS"/>
          <w:b/>
          <w:i/>
          <w:noProof/>
          <w:szCs w:val="48"/>
        </w:rPr>
        <w:t>e</w:t>
      </w:r>
    </w:p>
    <w:p w:rsidR="00281CB8" w:rsidRPr="00281CB8" w:rsidRDefault="00281CB8" w:rsidP="00281CB8">
      <w:pPr>
        <w:jc w:val="center"/>
        <w:rPr>
          <w:rFonts w:eastAsia="Arial Unicode MS"/>
          <w:b/>
          <w:i/>
          <w:noProof/>
          <w:szCs w:val="48"/>
        </w:rPr>
      </w:pPr>
      <w:r w:rsidRPr="00281CB8">
        <w:rPr>
          <w:rFonts w:eastAsia="Arial Unicode MS"/>
          <w:b/>
          <w:i/>
          <w:noProof/>
          <w:szCs w:val="48"/>
        </w:rPr>
        <w:t>il Ministero dello Sviluppo Economico</w:t>
      </w:r>
    </w:p>
    <w:p w:rsidR="00281CB8" w:rsidRDefault="00281CB8" w:rsidP="000D0FD7">
      <w:pPr>
        <w:rPr>
          <w:rFonts w:ascii="Calibri" w:hAnsi="Calibri"/>
          <w:b/>
        </w:rPr>
      </w:pPr>
    </w:p>
    <w:p w:rsidR="00281CB8" w:rsidRDefault="00281CB8" w:rsidP="000D0FD7">
      <w:pPr>
        <w:rPr>
          <w:rFonts w:ascii="Calibri" w:hAnsi="Calibri"/>
          <w:b/>
        </w:rPr>
      </w:pPr>
    </w:p>
    <w:p w:rsidR="00082C2D" w:rsidRDefault="000D0FD7" w:rsidP="007F59F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Comunicazione d’istruzione integrativa alle modalità di presentazione delle domande </w:t>
      </w:r>
      <w:r w:rsidR="007F59FE">
        <w:rPr>
          <w:rFonts w:ascii="Calibri" w:hAnsi="Calibri"/>
          <w:b/>
        </w:rPr>
        <w:t>di ammissione come descritte alla parte seconda, capitolo I, paragrafo 1</w:t>
      </w:r>
      <w:r>
        <w:rPr>
          <w:rFonts w:ascii="Calibri" w:hAnsi="Calibri"/>
          <w:b/>
        </w:rPr>
        <w:t xml:space="preserve">della Circolare del 18 gennaio 2013, n. 5505 attuativa dell’articolo 57 del decreto legge n. 83 del 22 giugno 2012, convertito, con modificazioni, dalla legge n.134 del 7 agosto 2012, recante: “Misure per lo sviluppo dell’occupazione giovanile nel settore della green economy”, pubblicata sulla Gazzetta Ufficiale n.21, serie generale, del </w:t>
      </w:r>
      <w:r w:rsidR="00CB073C">
        <w:rPr>
          <w:rFonts w:ascii="Calibri" w:hAnsi="Calibri"/>
          <w:b/>
        </w:rPr>
        <w:t>2</w:t>
      </w:r>
      <w:r>
        <w:rPr>
          <w:rFonts w:ascii="Calibri" w:hAnsi="Calibri"/>
          <w:b/>
        </w:rPr>
        <w:t>5 gennaio 2013.</w:t>
      </w:r>
    </w:p>
    <w:p w:rsidR="000D0FD7" w:rsidRDefault="000D0FD7" w:rsidP="000D0FD7">
      <w:pPr>
        <w:rPr>
          <w:rFonts w:ascii="Calibri" w:hAnsi="Calibri"/>
          <w:b/>
        </w:rPr>
      </w:pPr>
    </w:p>
    <w:p w:rsidR="000D0FD7" w:rsidRDefault="00281CB8" w:rsidP="00FC664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Sono </w:t>
      </w:r>
      <w:r w:rsidR="00FC6649">
        <w:rPr>
          <w:rFonts w:ascii="Calibri" w:hAnsi="Calibri"/>
        </w:rPr>
        <w:t xml:space="preserve">giunte </w:t>
      </w:r>
      <w:r w:rsidR="000D0FD7" w:rsidRPr="000D0FD7">
        <w:rPr>
          <w:rFonts w:ascii="Calibri" w:hAnsi="Calibri"/>
        </w:rPr>
        <w:t xml:space="preserve">numerose notizie di difficoltà </w:t>
      </w:r>
      <w:r w:rsidR="00CB073C">
        <w:rPr>
          <w:rFonts w:ascii="Calibri" w:hAnsi="Calibri"/>
        </w:rPr>
        <w:t>pervenute dagli operatori economici</w:t>
      </w:r>
      <w:r w:rsidR="00FC6649">
        <w:rPr>
          <w:rFonts w:ascii="Calibri" w:hAnsi="Calibri"/>
        </w:rPr>
        <w:t xml:space="preserve"> e dalle</w:t>
      </w:r>
      <w:r w:rsidR="00CB073C">
        <w:rPr>
          <w:rFonts w:ascii="Calibri" w:hAnsi="Calibri"/>
        </w:rPr>
        <w:t xml:space="preserve"> principali associazioni di categoria in ordine al</w:t>
      </w:r>
      <w:r w:rsidR="00FC6649">
        <w:rPr>
          <w:rFonts w:ascii="Calibri" w:hAnsi="Calibri"/>
        </w:rPr>
        <w:t>le</w:t>
      </w:r>
      <w:r w:rsidR="000D0FD7">
        <w:rPr>
          <w:rFonts w:ascii="Calibri" w:hAnsi="Calibri"/>
        </w:rPr>
        <w:t xml:space="preserve"> garanzie fideiussorie </w:t>
      </w:r>
      <w:r w:rsidR="00CB073C">
        <w:rPr>
          <w:rFonts w:ascii="Calibri" w:hAnsi="Calibri"/>
        </w:rPr>
        <w:t>richieste nei termini e modalità di cui al</w:t>
      </w:r>
      <w:r w:rsidR="00FC6649">
        <w:rPr>
          <w:rFonts w:ascii="Calibri" w:hAnsi="Calibri"/>
        </w:rPr>
        <w:t>la Parte seconda,</w:t>
      </w:r>
      <w:r w:rsidR="000D0FD7">
        <w:rPr>
          <w:rFonts w:ascii="Calibri" w:hAnsi="Calibri"/>
        </w:rPr>
        <w:t xml:space="preserve"> capitolo I</w:t>
      </w:r>
      <w:r w:rsidR="00FC6649">
        <w:rPr>
          <w:rFonts w:ascii="Calibri" w:hAnsi="Calibri"/>
        </w:rPr>
        <w:t>,</w:t>
      </w:r>
      <w:r w:rsidR="000D0FD7">
        <w:rPr>
          <w:rFonts w:ascii="Calibri" w:hAnsi="Calibri"/>
        </w:rPr>
        <w:t xml:space="preserve"> paragrafo 2</w:t>
      </w:r>
      <w:r w:rsidR="00FC6649">
        <w:rPr>
          <w:rFonts w:ascii="Calibri" w:hAnsi="Calibri"/>
        </w:rPr>
        <w:t>,</w:t>
      </w:r>
      <w:r w:rsidR="000D0FD7">
        <w:rPr>
          <w:rFonts w:ascii="Calibri" w:hAnsi="Calibri"/>
        </w:rPr>
        <w:t xml:space="preserve"> punto 2.5</w:t>
      </w:r>
      <w:r w:rsidR="0091047F">
        <w:rPr>
          <w:rFonts w:ascii="Calibri" w:hAnsi="Calibri"/>
        </w:rPr>
        <w:t xml:space="preserve"> sezione “Garanzia Provvisoria” della citata Circolare.</w:t>
      </w:r>
    </w:p>
    <w:p w:rsidR="007F59FE" w:rsidRDefault="007F59FE" w:rsidP="00FC6649">
      <w:pPr>
        <w:jc w:val="both"/>
        <w:rPr>
          <w:rFonts w:ascii="Calibri" w:hAnsi="Calibri"/>
        </w:rPr>
      </w:pPr>
    </w:p>
    <w:p w:rsidR="0091047F" w:rsidRDefault="0091047F" w:rsidP="00FC6649">
      <w:pPr>
        <w:jc w:val="both"/>
        <w:rPr>
          <w:rFonts w:ascii="Calibri" w:hAnsi="Calibri"/>
        </w:rPr>
      </w:pPr>
      <w:r>
        <w:rPr>
          <w:rFonts w:ascii="Calibri" w:hAnsi="Calibri"/>
        </w:rPr>
        <w:t>Tenuto conto che occorre garantire la massima partecipazione possibile ai benefici previsti dalla suddetta Circolare.</w:t>
      </w:r>
    </w:p>
    <w:p w:rsidR="007F59FE" w:rsidRDefault="007F59FE" w:rsidP="00FC6649">
      <w:pPr>
        <w:jc w:val="both"/>
        <w:rPr>
          <w:rFonts w:ascii="Calibri" w:hAnsi="Calibri"/>
        </w:rPr>
      </w:pPr>
    </w:p>
    <w:p w:rsidR="0091047F" w:rsidRDefault="00FC6649" w:rsidP="00FC6649">
      <w:pPr>
        <w:jc w:val="both"/>
        <w:rPr>
          <w:rFonts w:ascii="Calibri" w:hAnsi="Calibri"/>
        </w:rPr>
      </w:pPr>
      <w:r>
        <w:rPr>
          <w:rFonts w:ascii="Calibri" w:hAnsi="Calibri"/>
        </w:rPr>
        <w:t>Viste le comunicazioni di posta elettronica pervenute</w:t>
      </w:r>
      <w:r w:rsidR="0091047F">
        <w:rPr>
          <w:rFonts w:ascii="Calibri" w:hAnsi="Calibri"/>
        </w:rPr>
        <w:t xml:space="preserve"> alla Direzione </w:t>
      </w:r>
      <w:r w:rsidR="00281CB8">
        <w:rPr>
          <w:rFonts w:ascii="Calibri" w:hAnsi="Calibri"/>
        </w:rPr>
        <w:t>g</w:t>
      </w:r>
      <w:r w:rsidR="0091047F">
        <w:rPr>
          <w:rFonts w:ascii="Calibri" w:hAnsi="Calibri"/>
        </w:rPr>
        <w:t>enerale</w:t>
      </w:r>
      <w:r w:rsidR="00281CB8" w:rsidRPr="00CB073C">
        <w:rPr>
          <w:b/>
        </w:rPr>
        <w:t xml:space="preserve"> </w:t>
      </w:r>
      <w:r w:rsidR="00281CB8" w:rsidRPr="00281CB8">
        <w:rPr>
          <w:rFonts w:ascii="Calibri" w:hAnsi="Calibri"/>
        </w:rPr>
        <w:t xml:space="preserve">per lo </w:t>
      </w:r>
      <w:r w:rsidR="00281CB8">
        <w:rPr>
          <w:rFonts w:ascii="Calibri" w:hAnsi="Calibri"/>
        </w:rPr>
        <w:t>s</w:t>
      </w:r>
      <w:r w:rsidR="00281CB8" w:rsidRPr="00281CB8">
        <w:rPr>
          <w:rFonts w:ascii="Calibri" w:hAnsi="Calibri"/>
        </w:rPr>
        <w:t xml:space="preserve">viluppo </w:t>
      </w:r>
      <w:r w:rsidR="00281CB8">
        <w:rPr>
          <w:rFonts w:ascii="Calibri" w:hAnsi="Calibri"/>
        </w:rPr>
        <w:t>s</w:t>
      </w:r>
      <w:r>
        <w:rPr>
          <w:rFonts w:ascii="Calibri" w:hAnsi="Calibri"/>
        </w:rPr>
        <w:t>ostenibile il</w:t>
      </w:r>
      <w:r w:rsidR="00281CB8" w:rsidRPr="00281CB8">
        <w:rPr>
          <w:rFonts w:ascii="Calibri" w:hAnsi="Calibri"/>
        </w:rPr>
        <w:t xml:space="preserve"> clima e l’energia</w:t>
      </w:r>
      <w:r w:rsidR="00281CB8">
        <w:rPr>
          <w:rFonts w:ascii="Calibri" w:hAnsi="Calibri"/>
        </w:rPr>
        <w:t xml:space="preserve"> </w:t>
      </w:r>
      <w:r w:rsidR="0091047F">
        <w:rPr>
          <w:rFonts w:ascii="Calibri" w:hAnsi="Calibri"/>
        </w:rPr>
        <w:t xml:space="preserve">con </w:t>
      </w:r>
      <w:r>
        <w:rPr>
          <w:rFonts w:ascii="Calibri" w:hAnsi="Calibri"/>
        </w:rPr>
        <w:t>le quali è stata</w:t>
      </w:r>
      <w:r w:rsidR="0091047F">
        <w:rPr>
          <w:rFonts w:ascii="Calibri" w:hAnsi="Calibri"/>
        </w:rPr>
        <w:t xml:space="preserve"> richiesta una proroga dei termini di presentazione delle domande al fine di permettere agli istituti di credito/assicurazioni/</w:t>
      </w:r>
      <w:r w:rsidR="00CB073C">
        <w:rPr>
          <w:rFonts w:ascii="Calibri" w:hAnsi="Calibri"/>
        </w:rPr>
        <w:t>socie</w:t>
      </w:r>
      <w:r w:rsidR="007F59FE">
        <w:rPr>
          <w:rFonts w:ascii="Calibri" w:hAnsi="Calibri"/>
        </w:rPr>
        <w:t>tà</w:t>
      </w:r>
      <w:r w:rsidR="00CB073C">
        <w:rPr>
          <w:rFonts w:ascii="Calibri" w:hAnsi="Calibri"/>
        </w:rPr>
        <w:t xml:space="preserve"> di intermediazione finanziaria</w:t>
      </w:r>
      <w:r w:rsidR="0091047F">
        <w:rPr>
          <w:rFonts w:ascii="Calibri" w:hAnsi="Calibri"/>
        </w:rPr>
        <w:t xml:space="preserve"> </w:t>
      </w:r>
      <w:r w:rsidR="00B205B8">
        <w:rPr>
          <w:rFonts w:ascii="Calibri" w:hAnsi="Calibri"/>
        </w:rPr>
        <w:t>di poter emettere la garanzia fideiussoria secondo le modalità previste dalla predetta Circolare</w:t>
      </w:r>
      <w:r w:rsidR="00CB073C">
        <w:rPr>
          <w:rFonts w:ascii="Calibri" w:hAnsi="Calibri"/>
        </w:rPr>
        <w:t>.</w:t>
      </w:r>
    </w:p>
    <w:p w:rsidR="007F59FE" w:rsidRPr="000D0FD7" w:rsidRDefault="007F59FE" w:rsidP="00FC6649">
      <w:pPr>
        <w:jc w:val="both"/>
        <w:rPr>
          <w:rFonts w:ascii="Calibri" w:hAnsi="Calibri"/>
        </w:rPr>
      </w:pPr>
    </w:p>
    <w:p w:rsidR="000D0FD7" w:rsidRDefault="0091047F" w:rsidP="00FC6649">
      <w:pPr>
        <w:jc w:val="both"/>
        <w:rPr>
          <w:rFonts w:ascii="Calibri" w:hAnsi="Calibri"/>
        </w:rPr>
      </w:pPr>
      <w:r w:rsidRPr="0091047F">
        <w:rPr>
          <w:rFonts w:ascii="Calibri" w:hAnsi="Calibri"/>
        </w:rPr>
        <w:t xml:space="preserve">Tenuto altresì conto che la citata Circolare </w:t>
      </w:r>
      <w:r w:rsidR="007F59FE">
        <w:rPr>
          <w:rFonts w:ascii="Calibri" w:hAnsi="Calibri"/>
        </w:rPr>
        <w:t>prevede</w:t>
      </w:r>
      <w:r w:rsidRPr="0091047F">
        <w:rPr>
          <w:rFonts w:ascii="Calibri" w:hAnsi="Calibri"/>
        </w:rPr>
        <w:t xml:space="preserve"> che le domande </w:t>
      </w:r>
      <w:r w:rsidR="007F59FE">
        <w:rPr>
          <w:rFonts w:ascii="Calibri" w:hAnsi="Calibri"/>
        </w:rPr>
        <w:t>debbano</w:t>
      </w:r>
      <w:r>
        <w:rPr>
          <w:rFonts w:ascii="Calibri" w:hAnsi="Calibri"/>
        </w:rPr>
        <w:t xml:space="preserve"> pervenire entro le ore 23:59:59 del novantesimo giorno successivo alla data di pubblicazione della Circolare in G.U. avvenuta</w:t>
      </w:r>
      <w:r w:rsidR="007F59FE">
        <w:rPr>
          <w:rFonts w:ascii="Calibri" w:hAnsi="Calibri"/>
        </w:rPr>
        <w:t xml:space="preserve"> </w:t>
      </w:r>
      <w:r>
        <w:rPr>
          <w:rFonts w:ascii="Calibri" w:hAnsi="Calibri"/>
        </w:rPr>
        <w:t>in data 25 gennaio 2013.</w:t>
      </w:r>
    </w:p>
    <w:p w:rsidR="007F59FE" w:rsidRDefault="007F59FE" w:rsidP="00FC6649">
      <w:pPr>
        <w:jc w:val="both"/>
        <w:rPr>
          <w:rFonts w:ascii="Calibri" w:hAnsi="Calibri"/>
        </w:rPr>
      </w:pPr>
    </w:p>
    <w:p w:rsidR="00CB073C" w:rsidRDefault="00CB073C" w:rsidP="00FC6649">
      <w:pPr>
        <w:jc w:val="both"/>
        <w:rPr>
          <w:rFonts w:ascii="Calibri" w:hAnsi="Calibri"/>
        </w:rPr>
      </w:pPr>
      <w:r>
        <w:rPr>
          <w:rFonts w:ascii="Calibri" w:hAnsi="Calibri"/>
        </w:rPr>
        <w:t>Considerato che il predetto termine cade</w:t>
      </w:r>
      <w:r w:rsidR="00FC6649">
        <w:rPr>
          <w:rFonts w:ascii="Calibri" w:hAnsi="Calibri"/>
        </w:rPr>
        <w:t xml:space="preserve"> in giorno festivo e </w:t>
      </w:r>
      <w:r>
        <w:rPr>
          <w:rFonts w:ascii="Calibri" w:hAnsi="Calibri"/>
        </w:rPr>
        <w:t>quindi è stato spostato alle 23:59:59 del primo giorno lavorativo immediatamente successivo.</w:t>
      </w:r>
    </w:p>
    <w:p w:rsidR="007F59FE" w:rsidRDefault="007F59FE" w:rsidP="00FC6649">
      <w:pPr>
        <w:jc w:val="both"/>
        <w:rPr>
          <w:rFonts w:ascii="Calibri" w:hAnsi="Calibri"/>
        </w:rPr>
      </w:pPr>
    </w:p>
    <w:p w:rsidR="00B205B8" w:rsidRDefault="00CB073C" w:rsidP="00FC6649">
      <w:pPr>
        <w:jc w:val="both"/>
        <w:rPr>
          <w:rFonts w:ascii="Calibri" w:hAnsi="Calibri"/>
        </w:rPr>
      </w:pPr>
      <w:r>
        <w:rPr>
          <w:rFonts w:ascii="Calibri" w:hAnsi="Calibri"/>
        </w:rPr>
        <w:t>Considerato che detto termine</w:t>
      </w:r>
      <w:r w:rsidR="007F59FE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7F59FE">
        <w:rPr>
          <w:rFonts w:ascii="Calibri" w:hAnsi="Calibri"/>
        </w:rPr>
        <w:t xml:space="preserve">pertanto, </w:t>
      </w:r>
      <w:r>
        <w:rPr>
          <w:rFonts w:ascii="Calibri" w:hAnsi="Calibri"/>
        </w:rPr>
        <w:t>scade alle ore 23:59:59 del 26 aprile 2013.</w:t>
      </w:r>
    </w:p>
    <w:p w:rsidR="007F59FE" w:rsidRDefault="007F59FE" w:rsidP="00FC6649">
      <w:pPr>
        <w:jc w:val="both"/>
        <w:rPr>
          <w:rFonts w:ascii="Calibri" w:hAnsi="Calibri"/>
        </w:rPr>
      </w:pPr>
    </w:p>
    <w:p w:rsidR="00FC6649" w:rsidRDefault="00FC6649" w:rsidP="00FC6649">
      <w:pPr>
        <w:jc w:val="both"/>
        <w:rPr>
          <w:rFonts w:ascii="Calibri" w:hAnsi="Calibri" w:cs="Arial"/>
        </w:rPr>
      </w:pPr>
      <w:r w:rsidRPr="00FC6649">
        <w:rPr>
          <w:rFonts w:ascii="Calibri" w:hAnsi="Calibri" w:cs="Arial"/>
        </w:rPr>
        <w:t>Ritenuto possibile accogliere le</w:t>
      </w:r>
      <w:r>
        <w:rPr>
          <w:rFonts w:ascii="Calibri" w:hAnsi="Calibri" w:cs="Arial"/>
        </w:rPr>
        <w:t xml:space="preserve"> richieste</w:t>
      </w:r>
      <w:r w:rsidRPr="00FC6649">
        <w:rPr>
          <w:rFonts w:ascii="Calibri" w:hAnsi="Calibri" w:cs="Arial"/>
        </w:rPr>
        <w:t xml:space="preserve"> di proroga, in modo da consentire agli operatori di acquisire le suddette garanzie.</w:t>
      </w:r>
    </w:p>
    <w:p w:rsidR="00FC6649" w:rsidRPr="00897599" w:rsidRDefault="00FC6649" w:rsidP="00FC6649">
      <w:pPr>
        <w:jc w:val="both"/>
        <w:rPr>
          <w:rFonts w:ascii="Calibri" w:hAnsi="Calibri" w:cs="Arial"/>
        </w:rPr>
      </w:pPr>
    </w:p>
    <w:p w:rsidR="00B205B8" w:rsidRPr="007F59FE" w:rsidRDefault="00B205B8" w:rsidP="00FC6649">
      <w:pPr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</w:rPr>
        <w:t>Tutto questo premesso, il termine di presentazione delle istanze ai sensi</w:t>
      </w:r>
      <w:r w:rsidR="00FC6649">
        <w:rPr>
          <w:rFonts w:ascii="Calibri" w:hAnsi="Calibri"/>
        </w:rPr>
        <w:t xml:space="preserve"> della Parte seconda, capitolo I</w:t>
      </w:r>
      <w:r>
        <w:rPr>
          <w:rFonts w:ascii="Calibri" w:hAnsi="Calibri"/>
        </w:rPr>
        <w:t>, paragrafo 1</w:t>
      </w:r>
      <w:r w:rsidR="007F59FE">
        <w:rPr>
          <w:rFonts w:ascii="Calibri" w:hAnsi="Calibri"/>
        </w:rPr>
        <w:t xml:space="preserve"> </w:t>
      </w:r>
      <w:r w:rsidR="0099372A">
        <w:rPr>
          <w:rFonts w:ascii="Calibri" w:hAnsi="Calibri"/>
        </w:rPr>
        <w:t xml:space="preserve">della circolare del 25 gennaio 2013 </w:t>
      </w:r>
      <w:r w:rsidR="0099372A" w:rsidRPr="007F59FE">
        <w:rPr>
          <w:rFonts w:ascii="Calibri" w:hAnsi="Calibri"/>
          <w:b/>
          <w:sz w:val="28"/>
          <w:szCs w:val="28"/>
          <w:u w:val="single"/>
        </w:rPr>
        <w:t>è prorogato alle ore 23:59:59 del 15 maggio 2013.</w:t>
      </w:r>
    </w:p>
    <w:p w:rsidR="007F59FE" w:rsidRDefault="007F59FE" w:rsidP="00FC6649">
      <w:pPr>
        <w:jc w:val="both"/>
        <w:rPr>
          <w:rFonts w:ascii="Calibri" w:hAnsi="Calibri"/>
        </w:rPr>
      </w:pPr>
    </w:p>
    <w:p w:rsidR="00E61D9D" w:rsidRDefault="0099372A" w:rsidP="00FC6649">
      <w:pPr>
        <w:jc w:val="both"/>
        <w:rPr>
          <w:rFonts w:ascii="Calibri" w:hAnsi="Calibri"/>
        </w:rPr>
      </w:pPr>
      <w:r>
        <w:rPr>
          <w:rFonts w:ascii="Calibri" w:hAnsi="Calibri"/>
        </w:rPr>
        <w:t>I soggetti che hanno presentato domanda entro il termine de</w:t>
      </w:r>
      <w:r w:rsidR="00FC6649">
        <w:rPr>
          <w:rFonts w:ascii="Calibri" w:hAnsi="Calibri"/>
        </w:rPr>
        <w:t>l</w:t>
      </w:r>
      <w:r>
        <w:rPr>
          <w:rFonts w:ascii="Calibri" w:hAnsi="Calibri"/>
        </w:rPr>
        <w:t>l</w:t>
      </w:r>
      <w:r w:rsidR="00FC6649">
        <w:rPr>
          <w:rFonts w:ascii="Calibri" w:hAnsi="Calibri"/>
        </w:rPr>
        <w:t>e ore 23:59:59 del</w:t>
      </w:r>
      <w:r>
        <w:rPr>
          <w:rFonts w:ascii="Calibri" w:hAnsi="Calibri"/>
        </w:rPr>
        <w:t xml:space="preserve"> 26 aprile 2013, possono entro il nuovo termine produrre integrazioni e/o modifiche ovvero riprodurre le istanze a </w:t>
      </w:r>
    </w:p>
    <w:p w:rsidR="00E61D9D" w:rsidRDefault="00E61D9D" w:rsidP="00FC6649">
      <w:pPr>
        <w:jc w:val="both"/>
        <w:rPr>
          <w:rFonts w:ascii="Calibri" w:hAnsi="Calibri"/>
        </w:rPr>
      </w:pPr>
    </w:p>
    <w:p w:rsidR="00E61D9D" w:rsidRDefault="00E61D9D" w:rsidP="00FC6649">
      <w:pPr>
        <w:jc w:val="both"/>
        <w:rPr>
          <w:rFonts w:ascii="Calibri" w:hAnsi="Calibri"/>
        </w:rPr>
      </w:pPr>
    </w:p>
    <w:p w:rsidR="00E61D9D" w:rsidRDefault="00E61D9D" w:rsidP="00FC6649">
      <w:pPr>
        <w:jc w:val="both"/>
        <w:rPr>
          <w:rFonts w:ascii="Calibri" w:hAnsi="Calibri"/>
        </w:rPr>
      </w:pPr>
    </w:p>
    <w:p w:rsidR="00E61D9D" w:rsidRDefault="00E61D9D" w:rsidP="00FC6649">
      <w:pPr>
        <w:jc w:val="both"/>
        <w:rPr>
          <w:rFonts w:ascii="Calibri" w:hAnsi="Calibri"/>
        </w:rPr>
      </w:pPr>
    </w:p>
    <w:p w:rsidR="00E61D9D" w:rsidRDefault="00E61D9D" w:rsidP="00FC6649">
      <w:pPr>
        <w:jc w:val="both"/>
        <w:rPr>
          <w:rFonts w:ascii="Calibri" w:hAnsi="Calibri"/>
        </w:rPr>
      </w:pPr>
    </w:p>
    <w:p w:rsidR="0099372A" w:rsidRDefault="0099372A" w:rsidP="00FC664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condizione che nella nuova istanza si faccia esplicito riferimento a quella già inviata allegando la ricevuta di accettazione del provider </w:t>
      </w:r>
      <w:r w:rsidR="00153045">
        <w:rPr>
          <w:rFonts w:ascii="Calibri" w:hAnsi="Calibri"/>
        </w:rPr>
        <w:t xml:space="preserve">di </w:t>
      </w:r>
      <w:r>
        <w:rPr>
          <w:rFonts w:ascii="Calibri" w:hAnsi="Calibri"/>
        </w:rPr>
        <w:t xml:space="preserve">Pec della documentazione </w:t>
      </w:r>
      <w:r w:rsidR="00281CB8">
        <w:rPr>
          <w:rFonts w:ascii="Calibri" w:hAnsi="Calibri"/>
        </w:rPr>
        <w:t>in precedenza trasmessa</w:t>
      </w:r>
      <w:r>
        <w:rPr>
          <w:rFonts w:ascii="Calibri" w:hAnsi="Calibri"/>
        </w:rPr>
        <w:t>.</w:t>
      </w:r>
      <w:r w:rsidR="00153045">
        <w:rPr>
          <w:rFonts w:ascii="Calibri" w:hAnsi="Calibri"/>
        </w:rPr>
        <w:t xml:space="preserve"> </w:t>
      </w:r>
    </w:p>
    <w:p w:rsidR="00B205B8" w:rsidRPr="0091047F" w:rsidRDefault="00B205B8" w:rsidP="00FC6649">
      <w:pPr>
        <w:jc w:val="both"/>
        <w:rPr>
          <w:rFonts w:ascii="Calibri" w:hAnsi="Calibri"/>
        </w:rPr>
      </w:pPr>
    </w:p>
    <w:p w:rsidR="007F59FE" w:rsidRDefault="007F59FE" w:rsidP="007650F7">
      <w:pPr>
        <w:rPr>
          <w:b/>
        </w:rPr>
      </w:pPr>
      <w:r>
        <w:rPr>
          <w:b/>
        </w:rPr>
        <w:t>Roma 26 aprile 2013</w:t>
      </w:r>
    </w:p>
    <w:p w:rsidR="007F59FE" w:rsidRDefault="007F59FE" w:rsidP="007650F7">
      <w:pPr>
        <w:rPr>
          <w:b/>
        </w:rPr>
      </w:pPr>
    </w:p>
    <w:p w:rsidR="007F59FE" w:rsidRDefault="007F59FE" w:rsidP="007650F7">
      <w:pPr>
        <w:rPr>
          <w:b/>
        </w:rPr>
      </w:pPr>
    </w:p>
    <w:p w:rsidR="007F59FE" w:rsidRDefault="006D28A1" w:rsidP="007650F7">
      <w:pPr>
        <w:rPr>
          <w:b/>
        </w:rPr>
      </w:pPr>
      <w:r w:rsidRPr="006D28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7pt;margin-top:1.4pt;width:261pt;height:98.3pt;z-index:251661312" filled="f" stroked="f">
            <v:textbox>
              <w:txbxContent>
                <w:p w:rsidR="007F59FE" w:rsidRDefault="007F59FE" w:rsidP="00153045">
                  <w:pPr>
                    <w:jc w:val="center"/>
                    <w:rPr>
                      <w:rFonts w:eastAsia="Arial Unicode MS"/>
                      <w:b/>
                      <w:noProof/>
                    </w:rPr>
                  </w:pPr>
                  <w:r>
                    <w:rPr>
                      <w:rFonts w:eastAsia="Arial Unicode MS"/>
                      <w:b/>
                      <w:noProof/>
                    </w:rPr>
                    <w:t xml:space="preserve">Ministero </w:t>
                  </w:r>
                  <w:r w:rsidR="001C48C9">
                    <w:rPr>
                      <w:rFonts w:eastAsia="Arial Unicode MS"/>
                      <w:b/>
                      <w:noProof/>
                    </w:rPr>
                    <w:t>dello</w:t>
                  </w:r>
                  <w:r>
                    <w:rPr>
                      <w:rFonts w:eastAsia="Arial Unicode MS"/>
                      <w:b/>
                      <w:noProof/>
                    </w:rPr>
                    <w:t xml:space="preserve"> sviluppo economico</w:t>
                  </w:r>
                </w:p>
                <w:p w:rsidR="00153045" w:rsidRPr="00281CB8" w:rsidRDefault="00153045" w:rsidP="00153045">
                  <w:pPr>
                    <w:jc w:val="center"/>
                    <w:rPr>
                      <w:rFonts w:eastAsia="Arial Unicode MS"/>
                      <w:b/>
                      <w:noProof/>
                    </w:rPr>
                  </w:pPr>
                  <w:r w:rsidRPr="00281CB8">
                    <w:rPr>
                      <w:rFonts w:eastAsia="Arial Unicode MS"/>
                      <w:b/>
                      <w:noProof/>
                    </w:rPr>
                    <w:t xml:space="preserve">Direzione </w:t>
                  </w:r>
                  <w:r w:rsidR="007F59FE">
                    <w:rPr>
                      <w:rFonts w:eastAsia="Arial Unicode MS"/>
                      <w:b/>
                      <w:noProof/>
                    </w:rPr>
                    <w:t>g</w:t>
                  </w:r>
                  <w:r w:rsidRPr="00281CB8">
                    <w:rPr>
                      <w:rFonts w:eastAsia="Arial Unicode MS"/>
                      <w:b/>
                      <w:noProof/>
                    </w:rPr>
                    <w:t>enerale per l</w:t>
                  </w:r>
                  <w:r w:rsidR="007F59FE">
                    <w:rPr>
                      <w:rFonts w:eastAsia="Arial Unicode MS"/>
                      <w:b/>
                      <w:noProof/>
                    </w:rPr>
                    <w:t>’</w:t>
                  </w:r>
                  <w:r w:rsidRPr="00281CB8">
                    <w:rPr>
                      <w:rFonts w:eastAsia="Arial Unicode MS"/>
                      <w:b/>
                      <w:noProof/>
                    </w:rPr>
                    <w:t>energia nucleare, le energie rinnovabili e l’efficienza energetica</w:t>
                  </w:r>
                </w:p>
                <w:p w:rsidR="00153045" w:rsidRPr="00281CB8" w:rsidRDefault="00153045" w:rsidP="00153045">
                  <w:pPr>
                    <w:jc w:val="center"/>
                    <w:rPr>
                      <w:rFonts w:eastAsia="Arial Unicode MS"/>
                      <w:b/>
                      <w:noProof/>
                    </w:rPr>
                  </w:pPr>
                  <w:r w:rsidRPr="00281CB8">
                    <w:rPr>
                      <w:b/>
                    </w:rPr>
                    <w:t>Il Direttore</w:t>
                  </w:r>
                  <w:r w:rsidR="00281CB8">
                    <w:rPr>
                      <w:b/>
                    </w:rPr>
                    <w:t xml:space="preserve"> </w:t>
                  </w:r>
                  <w:r w:rsidRPr="00281CB8">
                    <w:rPr>
                      <w:b/>
                    </w:rPr>
                    <w:t>Generale</w:t>
                  </w:r>
                  <w:r w:rsidRPr="00281CB8">
                    <w:rPr>
                      <w:rFonts w:eastAsia="Arial Unicode MS"/>
                      <w:b/>
                      <w:noProof/>
                    </w:rPr>
                    <w:t xml:space="preserve"> </w:t>
                  </w:r>
                </w:p>
                <w:p w:rsidR="00153045" w:rsidRPr="00281CB8" w:rsidRDefault="00153045" w:rsidP="00153045">
                  <w:pPr>
                    <w:jc w:val="center"/>
                    <w:rPr>
                      <w:b/>
                    </w:rPr>
                  </w:pPr>
                  <w:r w:rsidRPr="00281CB8">
                    <w:rPr>
                      <w:rFonts w:eastAsia="Arial Unicode MS"/>
                      <w:b/>
                      <w:noProof/>
                    </w:rPr>
                    <w:t>Dott.ssa Rosaria Romano</w:t>
                  </w:r>
                </w:p>
              </w:txbxContent>
            </v:textbox>
          </v:shape>
        </w:pict>
      </w:r>
      <w:r w:rsidR="00187E03">
        <w:rPr>
          <w:b/>
        </w:rPr>
        <w:t xml:space="preserve">  </w:t>
      </w:r>
      <w:r w:rsidR="001861B2">
        <w:rPr>
          <w:b/>
        </w:rPr>
        <w:t>Ministero dell'a</w:t>
      </w:r>
      <w:r w:rsidR="007F59FE">
        <w:rPr>
          <w:b/>
        </w:rPr>
        <w:t>mbiente e della</w:t>
      </w:r>
    </w:p>
    <w:p w:rsidR="007F59FE" w:rsidRDefault="007F59FE" w:rsidP="007650F7">
      <w:pPr>
        <w:rPr>
          <w:b/>
        </w:rPr>
      </w:pPr>
      <w:r>
        <w:rPr>
          <w:b/>
        </w:rPr>
        <w:t>Tutela del Territorio e del Mare</w:t>
      </w:r>
    </w:p>
    <w:p w:rsidR="007650F7" w:rsidRPr="00CB073C" w:rsidRDefault="007650F7" w:rsidP="007650F7">
      <w:pPr>
        <w:rPr>
          <w:b/>
        </w:rPr>
      </w:pPr>
      <w:r w:rsidRPr="00CB073C">
        <w:rPr>
          <w:b/>
        </w:rPr>
        <w:t xml:space="preserve">Direzione Generale per lo Sviluppo </w:t>
      </w:r>
    </w:p>
    <w:p w:rsidR="00187E03" w:rsidRDefault="00187E03" w:rsidP="007650F7">
      <w:pPr>
        <w:rPr>
          <w:b/>
        </w:rPr>
      </w:pPr>
      <w:r>
        <w:rPr>
          <w:b/>
        </w:rPr>
        <w:t xml:space="preserve">  </w:t>
      </w:r>
      <w:r w:rsidR="007650F7" w:rsidRPr="00CB073C">
        <w:rPr>
          <w:b/>
        </w:rPr>
        <w:t xml:space="preserve"> Sostenibile il  clima e l’energia</w:t>
      </w:r>
    </w:p>
    <w:p w:rsidR="007650F7" w:rsidRPr="00CB073C" w:rsidRDefault="007650F7" w:rsidP="007650F7">
      <w:pPr>
        <w:rPr>
          <w:b/>
        </w:rPr>
      </w:pPr>
      <w:r w:rsidRPr="00CB073C">
        <w:rPr>
          <w:b/>
        </w:rPr>
        <w:t xml:space="preserve"> Il Direttore</w:t>
      </w:r>
      <w:r w:rsidR="00CB073C">
        <w:rPr>
          <w:b/>
        </w:rPr>
        <w:t xml:space="preserve"> </w:t>
      </w:r>
      <w:r w:rsidRPr="00CB073C">
        <w:rPr>
          <w:b/>
        </w:rPr>
        <w:t>Generale ad interim</w:t>
      </w:r>
    </w:p>
    <w:p w:rsidR="007650F7" w:rsidRPr="00CB073C" w:rsidRDefault="007650F7" w:rsidP="007650F7">
      <w:pPr>
        <w:rPr>
          <w:b/>
        </w:rPr>
      </w:pPr>
      <w:r w:rsidRPr="00CB073C">
        <w:rPr>
          <w:b/>
        </w:rPr>
        <w:t xml:space="preserve">        </w:t>
      </w:r>
      <w:r w:rsidR="00CB073C">
        <w:rPr>
          <w:b/>
        </w:rPr>
        <w:t xml:space="preserve">  </w:t>
      </w:r>
      <w:r w:rsidRPr="00CB073C">
        <w:rPr>
          <w:b/>
        </w:rPr>
        <w:t xml:space="preserve">Dr. Mariano Grillo </w:t>
      </w:r>
    </w:p>
    <w:p w:rsidR="000D0FD7" w:rsidRPr="00CB073C" w:rsidRDefault="000D0FD7" w:rsidP="000D0FD7"/>
    <w:sectPr w:rsidR="000D0FD7" w:rsidRPr="00CB073C" w:rsidSect="00E61D9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D0FD7"/>
    <w:rsid w:val="00082C2D"/>
    <w:rsid w:val="000D0FD7"/>
    <w:rsid w:val="00153045"/>
    <w:rsid w:val="001861B2"/>
    <w:rsid w:val="00187E03"/>
    <w:rsid w:val="001919D1"/>
    <w:rsid w:val="001C48C9"/>
    <w:rsid w:val="00281CB8"/>
    <w:rsid w:val="002B3D5F"/>
    <w:rsid w:val="002C7041"/>
    <w:rsid w:val="0045154D"/>
    <w:rsid w:val="006D28A1"/>
    <w:rsid w:val="0070099E"/>
    <w:rsid w:val="007650F7"/>
    <w:rsid w:val="007F59FE"/>
    <w:rsid w:val="0091047F"/>
    <w:rsid w:val="00943D0B"/>
    <w:rsid w:val="00952761"/>
    <w:rsid w:val="00974DAE"/>
    <w:rsid w:val="0099372A"/>
    <w:rsid w:val="00A8373D"/>
    <w:rsid w:val="00AA0294"/>
    <w:rsid w:val="00AC0886"/>
    <w:rsid w:val="00B205B8"/>
    <w:rsid w:val="00CB073C"/>
    <w:rsid w:val="00E61D9D"/>
    <w:rsid w:val="00FC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StrambaciNTN</dc:creator>
  <cp:lastModifiedBy>StrambaciNTN</cp:lastModifiedBy>
  <cp:revision>7</cp:revision>
  <cp:lastPrinted>2013-04-26T11:37:00Z</cp:lastPrinted>
  <dcterms:created xsi:type="dcterms:W3CDTF">2013-04-26T10:14:00Z</dcterms:created>
  <dcterms:modified xsi:type="dcterms:W3CDTF">2013-04-26T11:39:00Z</dcterms:modified>
</cp:coreProperties>
</file>