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7C" w:rsidRDefault="00E00E7C" w:rsidP="00E00E7C">
      <w:pPr>
        <w:jc w:val="center"/>
      </w:pPr>
      <w:r>
        <w:t xml:space="preserve">MORIA DELLE STENELLE: SINTESI DELLE ANALISI ATTUALMENTE EFFETTUATE </w:t>
      </w:r>
    </w:p>
    <w:p w:rsidR="000D782F" w:rsidRDefault="00E00E7C" w:rsidP="00E00E7C">
      <w:pPr>
        <w:jc w:val="center"/>
      </w:pPr>
      <w:r>
        <w:t>E IPOTESI DIAGNOSTICHE</w:t>
      </w:r>
    </w:p>
    <w:p w:rsidR="000D782F" w:rsidRDefault="000D782F" w:rsidP="000D782F">
      <w:pPr>
        <w:jc w:val="both"/>
      </w:pPr>
    </w:p>
    <w:p w:rsidR="00685F59" w:rsidRDefault="00685F59" w:rsidP="00685F59">
      <w:pPr>
        <w:jc w:val="both"/>
        <w:rPr>
          <w:rFonts w:eastAsiaTheme="minorHAnsi" w:cs="TrebuchetMS"/>
          <w:lang w:eastAsia="en-US"/>
        </w:rPr>
      </w:pPr>
      <w:r w:rsidRPr="00685F59">
        <w:rPr>
          <w:rFonts w:eastAsiaTheme="minorHAnsi" w:cs="TrebuchetMS"/>
          <w:lang w:eastAsia="en-US"/>
        </w:rPr>
        <w:t>Dal 04 Gennaio le coste tirreniche delle Regioni Toscana, Lazio,</w:t>
      </w:r>
      <w:r>
        <w:rPr>
          <w:rFonts w:eastAsiaTheme="minorHAnsi" w:cs="TrebuchetMS"/>
          <w:lang w:eastAsia="en-US"/>
        </w:rPr>
        <w:t xml:space="preserve"> </w:t>
      </w:r>
      <w:r w:rsidRPr="00685F59">
        <w:rPr>
          <w:rFonts w:eastAsiaTheme="minorHAnsi" w:cs="TrebuchetMS"/>
          <w:lang w:eastAsia="en-US"/>
        </w:rPr>
        <w:t>Campania, Calabria, Sicilia e Sardegna sono interessate da spiaggiamenti di cetacei</w:t>
      </w:r>
      <w:r>
        <w:rPr>
          <w:rFonts w:eastAsiaTheme="minorHAnsi" w:cs="TrebuchetMS"/>
          <w:lang w:eastAsia="en-US"/>
        </w:rPr>
        <w:t xml:space="preserve">, </w:t>
      </w:r>
      <w:r>
        <w:t xml:space="preserve">in particolare della specie </w:t>
      </w:r>
      <w:proofErr w:type="spellStart"/>
      <w:r>
        <w:rPr>
          <w:i/>
        </w:rPr>
        <w:t>Stenella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coeruleoalba</w:t>
      </w:r>
      <w:proofErr w:type="spellEnd"/>
      <w:r>
        <w:rPr>
          <w:i/>
        </w:rPr>
        <w:t>,</w:t>
      </w:r>
      <w:r>
        <w:rPr>
          <w:rFonts w:eastAsiaTheme="minorHAnsi" w:cs="TrebuchetMS"/>
          <w:lang w:eastAsia="en-US"/>
        </w:rPr>
        <w:t xml:space="preserve"> </w:t>
      </w:r>
      <w:r w:rsidRPr="00685F59">
        <w:rPr>
          <w:rFonts w:eastAsiaTheme="minorHAnsi" w:cs="TrebuchetMS"/>
          <w:lang w:eastAsia="en-US"/>
        </w:rPr>
        <w:t>del tutto insoli</w:t>
      </w:r>
      <w:r w:rsidR="009A77E1">
        <w:rPr>
          <w:rFonts w:eastAsiaTheme="minorHAnsi" w:cs="TrebuchetMS"/>
          <w:lang w:eastAsia="en-US"/>
        </w:rPr>
        <w:t>ti rispetto a quelli registrati nel medesimo tratto di costa</w:t>
      </w:r>
      <w:r w:rsidRPr="00685F59">
        <w:rPr>
          <w:rFonts w:eastAsiaTheme="minorHAnsi" w:cs="TrebuchetMS"/>
          <w:lang w:eastAsia="en-US"/>
        </w:rPr>
        <w:t xml:space="preserve"> durante gli</w:t>
      </w:r>
      <w:r>
        <w:rPr>
          <w:rFonts w:eastAsiaTheme="minorHAnsi" w:cs="TrebuchetMS"/>
          <w:lang w:eastAsia="en-US"/>
        </w:rPr>
        <w:t xml:space="preserve"> </w:t>
      </w:r>
      <w:r w:rsidRPr="00685F59">
        <w:rPr>
          <w:rFonts w:eastAsiaTheme="minorHAnsi" w:cs="TrebuchetMS"/>
          <w:lang w:eastAsia="en-US"/>
        </w:rPr>
        <w:t>anni precedenti. Questi episodi vengono definiti come evento di mortalità anomalo</w:t>
      </w:r>
      <w:r>
        <w:rPr>
          <w:rFonts w:eastAsiaTheme="minorHAnsi" w:cs="TrebuchetMS"/>
          <w:lang w:eastAsia="en-US"/>
        </w:rPr>
        <w:t xml:space="preserve"> </w:t>
      </w:r>
      <w:r w:rsidRPr="00685F59">
        <w:rPr>
          <w:rFonts w:eastAsiaTheme="minorHAnsi" w:cs="TrebuchetMS"/>
          <w:lang w:eastAsia="en-US"/>
        </w:rPr>
        <w:t>(</w:t>
      </w:r>
      <w:proofErr w:type="spellStart"/>
      <w:r w:rsidRPr="00685F59">
        <w:rPr>
          <w:rFonts w:eastAsiaTheme="minorHAnsi" w:cs="TrebuchetMS"/>
          <w:lang w:eastAsia="en-US"/>
        </w:rPr>
        <w:t>Unusual</w:t>
      </w:r>
      <w:proofErr w:type="spellEnd"/>
      <w:r w:rsidRPr="00685F59">
        <w:rPr>
          <w:rFonts w:eastAsiaTheme="minorHAnsi" w:cs="TrebuchetMS"/>
          <w:lang w:eastAsia="en-US"/>
        </w:rPr>
        <w:t xml:space="preserve"> </w:t>
      </w:r>
      <w:proofErr w:type="spellStart"/>
      <w:r w:rsidRPr="00685F59">
        <w:rPr>
          <w:rFonts w:eastAsiaTheme="minorHAnsi" w:cs="TrebuchetMS"/>
          <w:lang w:eastAsia="en-US"/>
        </w:rPr>
        <w:t>Mortality</w:t>
      </w:r>
      <w:proofErr w:type="spellEnd"/>
      <w:r w:rsidRPr="00685F59">
        <w:rPr>
          <w:rFonts w:eastAsiaTheme="minorHAnsi" w:cs="TrebuchetMS"/>
          <w:lang w:eastAsia="en-US"/>
        </w:rPr>
        <w:t xml:space="preserve"> </w:t>
      </w:r>
      <w:proofErr w:type="spellStart"/>
      <w:r w:rsidRPr="00685F59">
        <w:rPr>
          <w:rFonts w:eastAsiaTheme="minorHAnsi" w:cs="TrebuchetMS"/>
          <w:lang w:eastAsia="en-US"/>
        </w:rPr>
        <w:t>Event</w:t>
      </w:r>
      <w:proofErr w:type="spellEnd"/>
      <w:r w:rsidRPr="00685F59">
        <w:rPr>
          <w:rFonts w:eastAsiaTheme="minorHAnsi" w:cs="TrebuchetMS"/>
          <w:lang w:eastAsia="en-US"/>
        </w:rPr>
        <w:t>).</w:t>
      </w:r>
      <w:r>
        <w:rPr>
          <w:rFonts w:eastAsiaTheme="minorHAnsi" w:cs="TrebuchetMS"/>
          <w:lang w:eastAsia="en-US"/>
        </w:rPr>
        <w:t xml:space="preserve"> </w:t>
      </w:r>
    </w:p>
    <w:p w:rsidR="00685F59" w:rsidRDefault="00685F59" w:rsidP="00685F59">
      <w:pPr>
        <w:jc w:val="both"/>
        <w:rPr>
          <w:rFonts w:eastAsiaTheme="minorHAnsi" w:cs="TrebuchetMS"/>
          <w:lang w:eastAsia="en-US"/>
        </w:rPr>
      </w:pPr>
    </w:p>
    <w:p w:rsidR="00685F59" w:rsidRDefault="00685F59" w:rsidP="00685F59">
      <w:pPr>
        <w:jc w:val="both"/>
      </w:pPr>
      <w:r>
        <w:t>La mori</w:t>
      </w:r>
      <w:r w:rsidR="00407406">
        <w:t>a, iniziata ai primi di gennaio</w:t>
      </w:r>
      <w:r>
        <w:t xml:space="preserve">, </w:t>
      </w:r>
      <w:r w:rsidR="00407406">
        <w:t>mostra</w:t>
      </w:r>
      <w:r>
        <w:t xml:space="preserve"> nelle ultime settimane</w:t>
      </w:r>
      <w:r w:rsidR="00407406">
        <w:t xml:space="preserve"> un</w:t>
      </w:r>
      <w:r>
        <w:t xml:space="preserve"> tasso di mortalità bruscamente calato e, mantenendosi questo tren</w:t>
      </w:r>
      <w:r w:rsidR="00407406">
        <w:t>d, potrebbe esaurirsi a breve: t</w:t>
      </w:r>
      <w:r>
        <w:t xml:space="preserve">ale andamento è già stato descritto in precedenti episodi di mortalità anomale, descritte negli ultimi anni nelle acque iberiche e riferite ad episodi epidemici sostenuti da </w:t>
      </w:r>
      <w:proofErr w:type="spellStart"/>
      <w:r>
        <w:t>Morbillivirus</w:t>
      </w:r>
      <w:proofErr w:type="spellEnd"/>
      <w:r>
        <w:t xml:space="preserve"> (2006-2008 e 2011).</w:t>
      </w:r>
      <w:r w:rsidR="0037233B">
        <w:t xml:space="preserve"> </w:t>
      </w:r>
    </w:p>
    <w:p w:rsidR="00E00E7C" w:rsidRDefault="00E00E7C" w:rsidP="00685F59">
      <w:pPr>
        <w:autoSpaceDE w:val="0"/>
        <w:autoSpaceDN w:val="0"/>
        <w:adjustRightInd w:val="0"/>
        <w:jc w:val="both"/>
      </w:pPr>
    </w:p>
    <w:p w:rsidR="00E00E7C" w:rsidRDefault="00E00E7C" w:rsidP="00E00E7C">
      <w:pPr>
        <w:autoSpaceDE w:val="0"/>
        <w:autoSpaceDN w:val="0"/>
        <w:adjustRightInd w:val="0"/>
        <w:jc w:val="both"/>
        <w:rPr>
          <w:rFonts w:eastAsiaTheme="minorHAnsi" w:cs="TrebuchetMS"/>
          <w:lang w:eastAsia="en-US"/>
        </w:rPr>
      </w:pPr>
      <w:r w:rsidRPr="00E00E7C">
        <w:rPr>
          <w:rFonts w:eastAsiaTheme="minorHAnsi" w:cs="TrebuchetMS"/>
          <w:lang w:eastAsia="en-US"/>
        </w:rPr>
        <w:t>Per la prima volta in Italia, grazie alla Rete Nazionale Spiaggiamenti nata dalla</w:t>
      </w:r>
      <w:r>
        <w:rPr>
          <w:rFonts w:eastAsiaTheme="minorHAnsi" w:cs="TrebuchetMS"/>
          <w:lang w:eastAsia="en-US"/>
        </w:rPr>
        <w:t xml:space="preserve"> </w:t>
      </w:r>
      <w:r w:rsidRPr="00E00E7C">
        <w:rPr>
          <w:rFonts w:eastAsiaTheme="minorHAnsi" w:cs="TrebuchetMS"/>
          <w:lang w:eastAsia="en-US"/>
        </w:rPr>
        <w:t>collaborazione tra Ministero dell’Ambiente, della Tutela del Territorio e del Mare e</w:t>
      </w:r>
      <w:r>
        <w:rPr>
          <w:rFonts w:eastAsiaTheme="minorHAnsi" w:cs="TrebuchetMS"/>
          <w:lang w:eastAsia="en-US"/>
        </w:rPr>
        <w:t xml:space="preserve"> </w:t>
      </w:r>
      <w:r w:rsidRPr="00E00E7C">
        <w:rPr>
          <w:rFonts w:eastAsiaTheme="minorHAnsi" w:cs="TrebuchetMS"/>
          <w:lang w:eastAsia="en-US"/>
        </w:rPr>
        <w:t>Ministero della Salute è stato possibile gestire l’emergenza con coordinazione e</w:t>
      </w:r>
      <w:r>
        <w:rPr>
          <w:rFonts w:eastAsiaTheme="minorHAnsi" w:cs="TrebuchetMS"/>
          <w:lang w:eastAsia="en-US"/>
        </w:rPr>
        <w:t xml:space="preserve"> </w:t>
      </w:r>
      <w:r w:rsidR="009A77E1">
        <w:rPr>
          <w:rFonts w:eastAsiaTheme="minorHAnsi" w:cs="TrebuchetMS"/>
          <w:lang w:eastAsia="en-US"/>
        </w:rPr>
        <w:t>sinergia</w:t>
      </w:r>
      <w:r w:rsidRPr="00E00E7C">
        <w:rPr>
          <w:rFonts w:eastAsiaTheme="minorHAnsi" w:cs="TrebuchetMS"/>
          <w:lang w:eastAsia="en-US"/>
        </w:rPr>
        <w:t xml:space="preserve"> fra gli Enti preposti, in modo tale da ottenere la completa tracciabilità delle</w:t>
      </w:r>
      <w:r>
        <w:rPr>
          <w:rFonts w:eastAsiaTheme="minorHAnsi" w:cs="TrebuchetMS"/>
          <w:lang w:eastAsia="en-US"/>
        </w:rPr>
        <w:t xml:space="preserve"> </w:t>
      </w:r>
      <w:r w:rsidRPr="00E00E7C">
        <w:rPr>
          <w:rFonts w:eastAsiaTheme="minorHAnsi" w:cs="TrebuchetMS"/>
          <w:lang w:eastAsia="en-US"/>
        </w:rPr>
        <w:t>segnalazioni, dei campionamenti, degli esami svolti e dei risultati ottenuti.</w:t>
      </w:r>
    </w:p>
    <w:p w:rsidR="00FA3B5D" w:rsidRPr="00E00E7C" w:rsidRDefault="00FA3B5D" w:rsidP="00E00E7C">
      <w:pPr>
        <w:autoSpaceDE w:val="0"/>
        <w:autoSpaceDN w:val="0"/>
        <w:adjustRightInd w:val="0"/>
        <w:jc w:val="both"/>
        <w:rPr>
          <w:rFonts w:eastAsiaTheme="minorHAnsi" w:cs="TrebuchetMS"/>
          <w:lang w:eastAsia="en-US"/>
        </w:rPr>
      </w:pPr>
    </w:p>
    <w:p w:rsidR="009A77E1" w:rsidRPr="00E00E7C" w:rsidRDefault="00E00E7C" w:rsidP="00FA3B5D">
      <w:pPr>
        <w:autoSpaceDE w:val="0"/>
        <w:autoSpaceDN w:val="0"/>
        <w:adjustRightInd w:val="0"/>
        <w:jc w:val="both"/>
        <w:rPr>
          <w:rFonts w:eastAsiaTheme="minorHAnsi" w:cs="TrebuchetMS"/>
          <w:lang w:eastAsia="en-US"/>
        </w:rPr>
      </w:pPr>
      <w:r w:rsidRPr="00E00E7C">
        <w:rPr>
          <w:rFonts w:eastAsiaTheme="minorHAnsi" w:cs="TrebuchetMS"/>
          <w:lang w:eastAsia="en-US"/>
        </w:rPr>
        <w:t>La proficua cooperazione fra le diverse competenze tecnico-scientifiche ha visto</w:t>
      </w:r>
      <w:r>
        <w:rPr>
          <w:rFonts w:eastAsiaTheme="minorHAnsi" w:cs="TrebuchetMS"/>
          <w:lang w:eastAsia="en-US"/>
        </w:rPr>
        <w:t xml:space="preserve"> </w:t>
      </w:r>
      <w:r w:rsidRPr="00E00E7C">
        <w:rPr>
          <w:rFonts w:eastAsiaTheme="minorHAnsi" w:cs="TrebuchetMS"/>
          <w:lang w:eastAsia="en-US"/>
        </w:rPr>
        <w:t xml:space="preserve">coinvolti: i Servizi Veterinari delle ASL, gli Istituti </w:t>
      </w:r>
      <w:proofErr w:type="spellStart"/>
      <w:r w:rsidRPr="00E00E7C">
        <w:rPr>
          <w:rFonts w:eastAsiaTheme="minorHAnsi" w:cs="TrebuchetMS"/>
          <w:lang w:eastAsia="en-US"/>
        </w:rPr>
        <w:t>Zooprofilattici</w:t>
      </w:r>
      <w:proofErr w:type="spellEnd"/>
      <w:r w:rsidRPr="00E00E7C">
        <w:rPr>
          <w:rFonts w:eastAsiaTheme="minorHAnsi" w:cs="TrebuchetMS"/>
          <w:lang w:eastAsia="en-US"/>
        </w:rPr>
        <w:t xml:space="preserve"> Sperimentali (IIZZSS),</w:t>
      </w:r>
      <w:r>
        <w:rPr>
          <w:rFonts w:eastAsiaTheme="minorHAnsi" w:cs="TrebuchetMS"/>
          <w:lang w:eastAsia="en-US"/>
        </w:rPr>
        <w:t xml:space="preserve"> </w:t>
      </w:r>
      <w:r w:rsidRPr="00E00E7C">
        <w:rPr>
          <w:rFonts w:eastAsiaTheme="minorHAnsi" w:cs="TrebuchetMS"/>
          <w:lang w:eastAsia="en-US"/>
        </w:rPr>
        <w:t>le ARPA , le Università di Padova</w:t>
      </w:r>
      <w:r w:rsidR="009A77E1">
        <w:rPr>
          <w:rFonts w:eastAsiaTheme="minorHAnsi" w:cs="TrebuchetMS"/>
          <w:lang w:eastAsia="en-US"/>
        </w:rPr>
        <w:t xml:space="preserve"> (CERT e MMMTB)</w:t>
      </w:r>
      <w:r w:rsidRPr="00E00E7C">
        <w:rPr>
          <w:rFonts w:eastAsiaTheme="minorHAnsi" w:cs="TrebuchetMS"/>
          <w:lang w:eastAsia="en-US"/>
        </w:rPr>
        <w:t>, Pavia</w:t>
      </w:r>
      <w:r w:rsidR="009A77E1">
        <w:rPr>
          <w:rFonts w:eastAsiaTheme="minorHAnsi" w:cs="TrebuchetMS"/>
          <w:lang w:eastAsia="en-US"/>
        </w:rPr>
        <w:t xml:space="preserve"> (BDS)</w:t>
      </w:r>
      <w:r w:rsidRPr="00E00E7C">
        <w:rPr>
          <w:rFonts w:eastAsiaTheme="minorHAnsi" w:cs="TrebuchetMS"/>
          <w:lang w:eastAsia="en-US"/>
        </w:rPr>
        <w:t>, Teramo, Siena, Pisa, il Museo di Storia Naturale</w:t>
      </w:r>
      <w:r w:rsidR="00FA3B5D">
        <w:rPr>
          <w:rFonts w:eastAsiaTheme="minorHAnsi" w:cs="TrebuchetMS"/>
          <w:lang w:eastAsia="en-US"/>
        </w:rPr>
        <w:t xml:space="preserve"> </w:t>
      </w:r>
      <w:r w:rsidRPr="00E00E7C">
        <w:rPr>
          <w:rFonts w:eastAsiaTheme="minorHAnsi" w:cs="TrebuchetMS"/>
          <w:lang w:eastAsia="en-US"/>
        </w:rPr>
        <w:t>di Milano</w:t>
      </w:r>
      <w:r w:rsidR="009A77E1">
        <w:rPr>
          <w:rFonts w:eastAsiaTheme="minorHAnsi" w:cs="TrebuchetMS"/>
          <w:lang w:eastAsia="en-US"/>
        </w:rPr>
        <w:t xml:space="preserve"> (BDS)</w:t>
      </w:r>
      <w:r w:rsidRPr="00E00E7C">
        <w:rPr>
          <w:rFonts w:eastAsiaTheme="minorHAnsi" w:cs="TrebuchetMS"/>
          <w:lang w:eastAsia="en-US"/>
        </w:rPr>
        <w:t>, le Capitanerie di Porto e il Corpo Forestale dello Stato. Gli IIZZSS competenti</w:t>
      </w:r>
      <w:r w:rsidR="00FA3B5D">
        <w:rPr>
          <w:rFonts w:eastAsiaTheme="minorHAnsi" w:cs="TrebuchetMS"/>
          <w:lang w:eastAsia="en-US"/>
        </w:rPr>
        <w:t xml:space="preserve"> </w:t>
      </w:r>
      <w:r w:rsidRPr="00E00E7C">
        <w:rPr>
          <w:rFonts w:eastAsiaTheme="minorHAnsi" w:cs="TrebuchetMS"/>
          <w:lang w:eastAsia="en-US"/>
        </w:rPr>
        <w:t>per territorio sono intervenuti per l’esecuzione della necroscopia e il successivo</w:t>
      </w:r>
      <w:r w:rsidR="00FA3B5D">
        <w:rPr>
          <w:rFonts w:eastAsiaTheme="minorHAnsi" w:cs="TrebuchetMS"/>
          <w:lang w:eastAsia="en-US"/>
        </w:rPr>
        <w:t xml:space="preserve"> </w:t>
      </w:r>
      <w:r w:rsidRPr="00E00E7C">
        <w:rPr>
          <w:rFonts w:eastAsiaTheme="minorHAnsi" w:cs="TrebuchetMS"/>
          <w:lang w:eastAsia="en-US"/>
        </w:rPr>
        <w:t>campionamento di organi e tessuti da sottoporre alle indagini diagnostiche di</w:t>
      </w:r>
      <w:r w:rsidR="00FA3B5D">
        <w:rPr>
          <w:rFonts w:eastAsiaTheme="minorHAnsi" w:cs="TrebuchetMS"/>
          <w:lang w:eastAsia="en-US"/>
        </w:rPr>
        <w:t xml:space="preserve"> </w:t>
      </w:r>
      <w:r w:rsidRPr="00E00E7C">
        <w:rPr>
          <w:rFonts w:eastAsiaTheme="minorHAnsi" w:cs="TrebuchetMS"/>
          <w:lang w:eastAsia="en-US"/>
        </w:rPr>
        <w:t xml:space="preserve">laboratorio. </w:t>
      </w:r>
      <w:r w:rsidR="00FA3B5D">
        <w:rPr>
          <w:rFonts w:eastAsiaTheme="minorHAnsi" w:cs="TrebuchetMS"/>
          <w:lang w:eastAsia="en-US"/>
        </w:rPr>
        <w:t xml:space="preserve"> </w:t>
      </w:r>
    </w:p>
    <w:p w:rsidR="00685F59" w:rsidRPr="00685F59" w:rsidRDefault="00685F59" w:rsidP="00685F59">
      <w:pPr>
        <w:autoSpaceDE w:val="0"/>
        <w:autoSpaceDN w:val="0"/>
        <w:adjustRightInd w:val="0"/>
        <w:jc w:val="both"/>
        <w:rPr>
          <w:rFonts w:eastAsiaTheme="minorHAnsi" w:cs="TrebuchetMS"/>
          <w:lang w:eastAsia="en-US"/>
        </w:rPr>
      </w:pPr>
    </w:p>
    <w:p w:rsidR="000D782F" w:rsidRDefault="00685F59" w:rsidP="00FA3B5D">
      <w:pPr>
        <w:autoSpaceDE w:val="0"/>
        <w:autoSpaceDN w:val="0"/>
        <w:adjustRightInd w:val="0"/>
        <w:jc w:val="both"/>
      </w:pPr>
      <w:r w:rsidRPr="00685F59">
        <w:rPr>
          <w:rFonts w:eastAsiaTheme="minorHAnsi" w:cs="TrebuchetMS"/>
          <w:lang w:eastAsia="en-US"/>
        </w:rPr>
        <w:t xml:space="preserve">Le segnalazioni </w:t>
      </w:r>
      <w:r w:rsidR="00DB5471">
        <w:rPr>
          <w:rFonts w:eastAsiaTheme="minorHAnsi" w:cs="TrebuchetMS"/>
          <w:lang w:eastAsia="en-US"/>
        </w:rPr>
        <w:t>registrate</w:t>
      </w:r>
      <w:r w:rsidRPr="00685F59">
        <w:rPr>
          <w:rFonts w:eastAsiaTheme="minorHAnsi" w:cs="TrebuchetMS"/>
          <w:lang w:eastAsia="en-US"/>
        </w:rPr>
        <w:t xml:space="preserve"> </w:t>
      </w:r>
      <w:r w:rsidR="00DB5471">
        <w:rPr>
          <w:rFonts w:eastAsiaTheme="minorHAnsi" w:cs="TrebuchetMS"/>
          <w:lang w:eastAsia="en-US"/>
        </w:rPr>
        <w:t>d</w:t>
      </w:r>
      <w:r w:rsidRPr="00685F59">
        <w:rPr>
          <w:rFonts w:eastAsiaTheme="minorHAnsi" w:cs="TrebuchetMS"/>
          <w:lang w:eastAsia="en-US"/>
        </w:rPr>
        <w:t>alla Banca Dati Spiaggiamenti de</w:t>
      </w:r>
      <w:r w:rsidR="005256D8">
        <w:rPr>
          <w:rFonts w:eastAsiaTheme="minorHAnsi" w:cs="TrebuchetMS"/>
          <w:lang w:eastAsia="en-US"/>
        </w:rPr>
        <w:t>ll’Università di Pavia (</w:t>
      </w:r>
      <w:r w:rsidRPr="00685F59">
        <w:rPr>
          <w:rFonts w:eastAsiaTheme="minorHAnsi" w:cs="TrebuchetMS"/>
          <w:lang w:eastAsia="en-US"/>
        </w:rPr>
        <w:t>che</w:t>
      </w:r>
      <w:r>
        <w:rPr>
          <w:rFonts w:eastAsiaTheme="minorHAnsi" w:cs="TrebuchetMS"/>
          <w:lang w:eastAsia="en-US"/>
        </w:rPr>
        <w:t xml:space="preserve"> </w:t>
      </w:r>
      <w:r w:rsidRPr="00685F59">
        <w:rPr>
          <w:rFonts w:eastAsiaTheme="minorHAnsi" w:cs="TrebuchetMS"/>
          <w:lang w:eastAsia="en-US"/>
        </w:rPr>
        <w:t>effettua la raccolta sistematica di informazioni sugli spiaggiamenti di mammiferi marini</w:t>
      </w:r>
      <w:r w:rsidR="005256D8">
        <w:rPr>
          <w:rFonts w:eastAsiaTheme="minorHAnsi" w:cs="TrebuchetMS"/>
          <w:lang w:eastAsia="en-US"/>
        </w:rPr>
        <w:t>)</w:t>
      </w:r>
      <w:r w:rsidRPr="00685F59">
        <w:rPr>
          <w:rFonts w:eastAsiaTheme="minorHAnsi" w:cs="TrebuchetMS"/>
          <w:lang w:eastAsia="en-US"/>
        </w:rPr>
        <w:t>,</w:t>
      </w:r>
      <w:r>
        <w:rPr>
          <w:rFonts w:eastAsiaTheme="minorHAnsi" w:cs="TrebuchetMS"/>
          <w:lang w:eastAsia="en-US"/>
        </w:rPr>
        <w:t xml:space="preserve"> riportano</w:t>
      </w:r>
      <w:r w:rsidR="00FA3B5D">
        <w:rPr>
          <w:rFonts w:eastAsiaTheme="minorHAnsi" w:cs="TrebuchetMS"/>
          <w:lang w:eastAsia="en-US"/>
        </w:rPr>
        <w:t xml:space="preserve"> al 16 aprile </w:t>
      </w:r>
      <w:r w:rsidR="005256D8">
        <w:rPr>
          <w:rFonts w:eastAsiaTheme="minorHAnsi" w:cs="TrebuchetMS"/>
          <w:lang w:eastAsia="en-US"/>
        </w:rPr>
        <w:t>2013:</w:t>
      </w:r>
      <w:r>
        <w:rPr>
          <w:rFonts w:eastAsiaTheme="minorHAnsi" w:cs="TrebuchetMS"/>
          <w:lang w:eastAsia="en-US"/>
        </w:rPr>
        <w:t xml:space="preserve"> 134 cetacei </w:t>
      </w:r>
      <w:proofErr w:type="spellStart"/>
      <w:r>
        <w:rPr>
          <w:rFonts w:eastAsiaTheme="minorHAnsi" w:cs="TrebuchetMS"/>
          <w:lang w:eastAsia="en-US"/>
        </w:rPr>
        <w:t>spiaggiati</w:t>
      </w:r>
      <w:proofErr w:type="spellEnd"/>
      <w:r>
        <w:rPr>
          <w:rFonts w:eastAsiaTheme="minorHAnsi" w:cs="TrebuchetMS"/>
          <w:lang w:eastAsia="en-US"/>
        </w:rPr>
        <w:t xml:space="preserve"> di cui 101 </w:t>
      </w:r>
      <w:proofErr w:type="spellStart"/>
      <w:r>
        <w:rPr>
          <w:rFonts w:eastAsiaTheme="minorHAnsi" w:cs="TrebuchetMS"/>
          <w:lang w:eastAsia="en-US"/>
        </w:rPr>
        <w:t>stenelle</w:t>
      </w:r>
      <w:proofErr w:type="spellEnd"/>
      <w:r>
        <w:rPr>
          <w:rFonts w:eastAsiaTheme="minorHAnsi" w:cs="TrebuchetMS"/>
          <w:lang w:eastAsia="en-US"/>
        </w:rPr>
        <w:t xml:space="preserve"> striate, 10</w:t>
      </w:r>
      <w:r w:rsidRPr="00685F59">
        <w:rPr>
          <w:rFonts w:eastAsiaTheme="minorHAnsi" w:cs="TrebuchetMS"/>
          <w:lang w:eastAsia="en-US"/>
        </w:rPr>
        <w:t xml:space="preserve"> tursiopi, 1 balenottera</w:t>
      </w:r>
      <w:r>
        <w:rPr>
          <w:rFonts w:eastAsiaTheme="minorHAnsi" w:cs="TrebuchetMS"/>
          <w:lang w:eastAsia="en-US"/>
        </w:rPr>
        <w:t xml:space="preserve"> </w:t>
      </w:r>
      <w:r w:rsidRPr="00685F59">
        <w:rPr>
          <w:rFonts w:eastAsiaTheme="minorHAnsi" w:cs="TrebuchetMS"/>
          <w:lang w:eastAsia="en-US"/>
        </w:rPr>
        <w:t>comu</w:t>
      </w:r>
      <w:r>
        <w:rPr>
          <w:rFonts w:eastAsiaTheme="minorHAnsi" w:cs="TrebuchetMS"/>
          <w:lang w:eastAsia="en-US"/>
        </w:rPr>
        <w:t>ne, 1 globicefalo, 3 grampi e 18</w:t>
      </w:r>
      <w:r w:rsidRPr="00685F59">
        <w:rPr>
          <w:rFonts w:eastAsiaTheme="minorHAnsi" w:cs="TrebuchetMS"/>
          <w:lang w:eastAsia="en-US"/>
        </w:rPr>
        <w:t xml:space="preserve"> non determinat</w:t>
      </w:r>
      <w:r w:rsidR="00407406">
        <w:rPr>
          <w:rFonts w:eastAsiaTheme="minorHAnsi" w:cs="TrebuchetMS"/>
          <w:lang w:eastAsia="en-US"/>
        </w:rPr>
        <w:t>i</w:t>
      </w:r>
      <w:r w:rsidR="00FA3B5D">
        <w:rPr>
          <w:rFonts w:eastAsiaTheme="minorHAnsi" w:cs="TrebuchetMS"/>
          <w:lang w:eastAsia="en-US"/>
        </w:rPr>
        <w:t>,</w:t>
      </w:r>
      <w:r w:rsidR="000D782F">
        <w:t xml:space="preserve"> come riportato nei grafici sottostanti che riassumono i dati fino ad ora raccolti. </w:t>
      </w:r>
      <w:r w:rsidR="009A77E1">
        <w:t>Lo</w:t>
      </w:r>
      <w:r w:rsidR="000D782F" w:rsidRPr="00297BF3">
        <w:t xml:space="preserve"> spiaggiamento </w:t>
      </w:r>
      <w:r w:rsidR="009A77E1">
        <w:t>riguarda</w:t>
      </w:r>
      <w:r w:rsidR="000D782F" w:rsidRPr="00297BF3">
        <w:t xml:space="preserve"> 134 cetacei in totale, ovvero oltre 10 volte la</w:t>
      </w:r>
      <w:r w:rsidR="000D782F">
        <w:t xml:space="preserve"> mortalità media normalmente registrata in questi mesi negli ultimi 10 anni (media 10; </w:t>
      </w:r>
      <w:proofErr w:type="spellStart"/>
      <w:r w:rsidR="000D782F">
        <w:t>min.-max.</w:t>
      </w:r>
      <w:proofErr w:type="spellEnd"/>
      <w:r w:rsidR="000D782F">
        <w:t xml:space="preserve"> 5-15).</w:t>
      </w:r>
    </w:p>
    <w:p w:rsidR="00FA3B5D" w:rsidRDefault="00FA3B5D" w:rsidP="00FA3B5D">
      <w:pPr>
        <w:autoSpaceDE w:val="0"/>
        <w:autoSpaceDN w:val="0"/>
        <w:adjustRightInd w:val="0"/>
        <w:jc w:val="both"/>
      </w:pPr>
    </w:p>
    <w:p w:rsidR="00FA3B5D" w:rsidRDefault="00FA3B5D" w:rsidP="00FA3B5D">
      <w:pPr>
        <w:autoSpaceDE w:val="0"/>
        <w:autoSpaceDN w:val="0"/>
        <w:adjustRightInd w:val="0"/>
        <w:jc w:val="both"/>
      </w:pPr>
    </w:p>
    <w:p w:rsidR="00FA3B5D" w:rsidRPr="00407406" w:rsidRDefault="00FA3B5D" w:rsidP="00FA3B5D">
      <w:pPr>
        <w:autoSpaceDE w:val="0"/>
        <w:autoSpaceDN w:val="0"/>
        <w:adjustRightInd w:val="0"/>
        <w:jc w:val="both"/>
        <w:rPr>
          <w:rFonts w:eastAsiaTheme="minorHAnsi" w:cs="TrebuchetMS"/>
          <w:lang w:eastAsia="en-US"/>
        </w:rPr>
      </w:pPr>
    </w:p>
    <w:p w:rsidR="000D782F" w:rsidRDefault="000D782F" w:rsidP="000D782F">
      <w:pPr>
        <w:jc w:val="both"/>
      </w:pPr>
    </w:p>
    <w:tbl>
      <w:tblPr>
        <w:tblW w:w="582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1984"/>
        <w:gridCol w:w="1276"/>
      </w:tblGrid>
      <w:tr w:rsidR="000D782F" w:rsidRPr="00297BF3" w:rsidTr="0084590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297BF3" w:rsidRDefault="000D782F" w:rsidP="0084590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97BF3">
              <w:rPr>
                <w:rFonts w:ascii="Calibri" w:eastAsia="Times New Roman" w:hAnsi="Calibri" w:cs="Times New Roman"/>
                <w:i/>
                <w:color w:val="000000"/>
              </w:rPr>
              <w:t>Anno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297BF3" w:rsidRDefault="000D782F" w:rsidP="0084590F">
            <w:pPr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297BF3">
              <w:rPr>
                <w:rFonts w:ascii="Calibri" w:eastAsia="Times New Roman" w:hAnsi="Calibri" w:cs="Times New Roman"/>
                <w:i/>
                <w:color w:val="000000"/>
              </w:rPr>
              <w:t>N°</w:t>
            </w:r>
            <w:proofErr w:type="spellEnd"/>
            <w:r w:rsidRPr="00297BF3">
              <w:rPr>
                <w:rFonts w:ascii="Calibri" w:eastAsia="Times New Roman" w:hAnsi="Calibri" w:cs="Times New Roman"/>
                <w:i/>
                <w:color w:val="000000"/>
              </w:rPr>
              <w:t xml:space="preserve"> Spiaggiamenti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F" w:rsidRPr="00297BF3" w:rsidRDefault="000D782F" w:rsidP="0084590F">
            <w:pPr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297BF3">
              <w:rPr>
                <w:rFonts w:ascii="Calibri" w:eastAsia="Times New Roman" w:hAnsi="Calibri" w:cs="Times New Roman"/>
                <w:i/>
                <w:color w:val="000000"/>
              </w:rPr>
              <w:t>N°</w:t>
            </w:r>
            <w:proofErr w:type="spellEnd"/>
            <w:r w:rsidRPr="00297BF3">
              <w:rPr>
                <w:rFonts w:ascii="Calibri" w:eastAsia="Times New Roman" w:hAnsi="Calibri" w:cs="Times New Roman"/>
                <w:i/>
                <w:color w:val="000000"/>
              </w:rPr>
              <w:t xml:space="preserve"> Animali </w:t>
            </w:r>
          </w:p>
        </w:tc>
      </w:tr>
      <w:tr w:rsidR="000D782F" w:rsidRPr="00A86434" w:rsidTr="008459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Totale </w:t>
            </w:r>
            <w:r w:rsidRPr="00A8643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</w:tr>
      <w:tr w:rsidR="000D782F" w:rsidRPr="00A86434" w:rsidTr="008459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Basilicata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D782F" w:rsidRPr="00A86434" w:rsidTr="008459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Calabria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0D782F" w:rsidRPr="00A86434" w:rsidTr="008459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Campania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0D782F" w:rsidRPr="00A86434" w:rsidTr="008459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Lazio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0D782F" w:rsidRPr="00A86434" w:rsidTr="008459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Marche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D782F" w:rsidRPr="00A86434" w:rsidTr="008459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Molise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D782F" w:rsidRPr="00A86434" w:rsidTr="008459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Puglia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D782F" w:rsidRPr="00A86434" w:rsidTr="008459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Sardegna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0D782F" w:rsidRPr="00A86434" w:rsidTr="008459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lastRenderedPageBreak/>
              <w:t>Sicilia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0D782F" w:rsidRPr="00A86434" w:rsidTr="008459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Toscana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0D782F" w:rsidRPr="00297BF3" w:rsidTr="0084590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297BF3" w:rsidRDefault="000D782F" w:rsidP="0084590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97BF3">
              <w:rPr>
                <w:rFonts w:ascii="Calibri" w:eastAsia="Times New Roman" w:hAnsi="Calibri" w:cs="Times New Roman"/>
                <w:i/>
                <w:color w:val="000000"/>
              </w:rPr>
              <w:t>Specie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F" w:rsidRPr="00297BF3" w:rsidRDefault="000D782F" w:rsidP="0084590F">
            <w:pPr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297BF3">
              <w:rPr>
                <w:rFonts w:ascii="Calibri" w:eastAsia="Times New Roman" w:hAnsi="Calibri" w:cs="Times New Roman"/>
                <w:i/>
                <w:color w:val="000000"/>
              </w:rPr>
              <w:t>N°</w:t>
            </w:r>
            <w:proofErr w:type="spellEnd"/>
            <w:r w:rsidRPr="00297BF3">
              <w:rPr>
                <w:rFonts w:ascii="Calibri" w:eastAsia="Times New Roman" w:hAnsi="Calibri" w:cs="Times New Roman"/>
                <w:i/>
                <w:color w:val="000000"/>
              </w:rPr>
              <w:t xml:space="preserve"> Animali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297BF3" w:rsidRDefault="000D782F" w:rsidP="0084590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0D782F" w:rsidRPr="00A86434" w:rsidTr="008459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6434">
              <w:rPr>
                <w:rFonts w:ascii="Calibri" w:eastAsia="Times New Roman" w:hAnsi="Calibri" w:cs="Times New Roman"/>
                <w:color w:val="000000"/>
              </w:rPr>
              <w:t>Balaenoptera</w:t>
            </w:r>
            <w:proofErr w:type="spellEnd"/>
            <w:r w:rsidRPr="00A864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6434">
              <w:rPr>
                <w:rFonts w:ascii="Calibri" w:eastAsia="Times New Roman" w:hAnsi="Calibri" w:cs="Times New Roman"/>
                <w:color w:val="000000"/>
              </w:rPr>
              <w:t>physalus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82F" w:rsidRPr="00A86434" w:rsidTr="008459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6434">
              <w:rPr>
                <w:rFonts w:ascii="Calibri" w:eastAsia="Times New Roman" w:hAnsi="Calibri" w:cs="Times New Roman"/>
                <w:color w:val="000000"/>
              </w:rPr>
              <w:t>Globicephala</w:t>
            </w:r>
            <w:proofErr w:type="spellEnd"/>
            <w:r w:rsidRPr="00A864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6434">
              <w:rPr>
                <w:rFonts w:ascii="Calibri" w:eastAsia="Times New Roman" w:hAnsi="Calibri" w:cs="Times New Roman"/>
                <w:color w:val="000000"/>
              </w:rPr>
              <w:t>melas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82F" w:rsidRPr="00A86434" w:rsidTr="008459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6434">
              <w:rPr>
                <w:rFonts w:ascii="Calibri" w:eastAsia="Times New Roman" w:hAnsi="Calibri" w:cs="Times New Roman"/>
                <w:color w:val="000000"/>
              </w:rPr>
              <w:t>Grampus</w:t>
            </w:r>
            <w:proofErr w:type="spellEnd"/>
            <w:r w:rsidRPr="00A864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6434">
              <w:rPr>
                <w:rFonts w:ascii="Calibri" w:eastAsia="Times New Roman" w:hAnsi="Calibri" w:cs="Times New Roman"/>
                <w:color w:val="000000"/>
              </w:rPr>
              <w:t>griseus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82F" w:rsidRPr="00A86434" w:rsidTr="008459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6434">
              <w:rPr>
                <w:rFonts w:ascii="Calibri" w:eastAsia="Times New Roman" w:hAnsi="Calibri" w:cs="Times New Roman"/>
                <w:color w:val="000000"/>
              </w:rPr>
              <w:t>Physeter</w:t>
            </w:r>
            <w:proofErr w:type="spellEnd"/>
            <w:r w:rsidRPr="00A864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6434">
              <w:rPr>
                <w:rFonts w:ascii="Calibri" w:eastAsia="Times New Roman" w:hAnsi="Calibri" w:cs="Times New Roman"/>
                <w:color w:val="000000"/>
              </w:rPr>
              <w:t>macrocephalus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82F" w:rsidRPr="00A86434" w:rsidTr="008459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6434">
              <w:rPr>
                <w:rFonts w:ascii="Calibri" w:eastAsia="Times New Roman" w:hAnsi="Calibri" w:cs="Times New Roman"/>
                <w:color w:val="000000"/>
              </w:rPr>
              <w:t>Stenella</w:t>
            </w:r>
            <w:proofErr w:type="spellEnd"/>
            <w:r w:rsidRPr="00A864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6434">
              <w:rPr>
                <w:rFonts w:ascii="Calibri" w:eastAsia="Times New Roman" w:hAnsi="Calibri" w:cs="Times New Roman"/>
                <w:color w:val="000000"/>
              </w:rPr>
              <w:t>coeruleoalba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82F" w:rsidRPr="00A86434" w:rsidTr="008459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6434">
              <w:rPr>
                <w:rFonts w:ascii="Calibri" w:eastAsia="Times New Roman" w:hAnsi="Calibri" w:cs="Times New Roman"/>
                <w:color w:val="000000"/>
              </w:rPr>
              <w:t>Tursiops</w:t>
            </w:r>
            <w:proofErr w:type="spellEnd"/>
            <w:r w:rsidRPr="00A864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6434">
              <w:rPr>
                <w:rFonts w:ascii="Calibri" w:eastAsia="Times New Roman" w:hAnsi="Calibri" w:cs="Times New Roman"/>
                <w:color w:val="000000"/>
              </w:rPr>
              <w:t>truncatus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82F" w:rsidRPr="00A86434" w:rsidTr="008459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6434">
              <w:rPr>
                <w:rFonts w:ascii="Calibri" w:eastAsia="Times New Roman" w:hAnsi="Calibri" w:cs="Times New Roman"/>
                <w:color w:val="000000"/>
              </w:rPr>
              <w:t>Undetermined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43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F" w:rsidRPr="00A86434" w:rsidRDefault="000D782F" w:rsidP="0084590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D782F" w:rsidRDefault="000D782F" w:rsidP="000D782F">
      <w:pPr>
        <w:jc w:val="both"/>
        <w:rPr>
          <w:i/>
        </w:rPr>
      </w:pPr>
    </w:p>
    <w:p w:rsidR="000D782F" w:rsidRPr="00A86434" w:rsidRDefault="000D782F" w:rsidP="000D782F">
      <w:pPr>
        <w:jc w:val="both"/>
        <w:rPr>
          <w:i/>
        </w:rPr>
      </w:pPr>
      <w:r w:rsidRPr="00A86434">
        <w:rPr>
          <w:i/>
        </w:rPr>
        <w:t>Tabella spiaggiamenti registrati in BDS</w:t>
      </w:r>
      <w:r>
        <w:rPr>
          <w:i/>
        </w:rPr>
        <w:t xml:space="preserve"> dal 1-1-2013</w:t>
      </w:r>
      <w:r w:rsidRPr="00A86434">
        <w:rPr>
          <w:i/>
        </w:rPr>
        <w:t xml:space="preserve"> al 16-4-2013.</w:t>
      </w:r>
    </w:p>
    <w:p w:rsidR="000D782F" w:rsidRDefault="000D782F" w:rsidP="000D782F">
      <w:pPr>
        <w:jc w:val="both"/>
      </w:pPr>
    </w:p>
    <w:p w:rsidR="000D782F" w:rsidRDefault="000D782F" w:rsidP="000D782F">
      <w:pPr>
        <w:jc w:val="both"/>
      </w:pPr>
    </w:p>
    <w:p w:rsidR="000D782F" w:rsidRDefault="000D782F" w:rsidP="000D782F">
      <w:pPr>
        <w:jc w:val="both"/>
      </w:pPr>
      <w:r>
        <w:rPr>
          <w:noProof/>
        </w:rPr>
        <w:drawing>
          <wp:inline distT="0" distB="0" distL="0" distR="0">
            <wp:extent cx="4572000" cy="2743200"/>
            <wp:effectExtent l="0" t="0" r="25400" b="25400"/>
            <wp:docPr id="7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D782F" w:rsidRPr="00DD11DD" w:rsidRDefault="000D782F" w:rsidP="000D782F">
      <w:pPr>
        <w:jc w:val="both"/>
        <w:rPr>
          <w:i/>
        </w:rPr>
      </w:pPr>
      <w:r w:rsidRPr="00DD11DD">
        <w:rPr>
          <w:i/>
        </w:rPr>
        <w:t>Ripartizione per specie</w:t>
      </w:r>
    </w:p>
    <w:p w:rsidR="000D782F" w:rsidRDefault="000D782F" w:rsidP="000D782F">
      <w:pPr>
        <w:jc w:val="both"/>
      </w:pPr>
    </w:p>
    <w:p w:rsidR="000D782F" w:rsidRDefault="000D782F" w:rsidP="000D782F">
      <w:pPr>
        <w:jc w:val="both"/>
      </w:pPr>
    </w:p>
    <w:p w:rsidR="000D782F" w:rsidRDefault="000D782F" w:rsidP="000D782F">
      <w:pPr>
        <w:jc w:val="both"/>
      </w:pPr>
      <w:r>
        <w:rPr>
          <w:noProof/>
        </w:rPr>
        <w:lastRenderedPageBreak/>
        <w:drawing>
          <wp:inline distT="0" distB="0" distL="0" distR="0">
            <wp:extent cx="6116320" cy="3386302"/>
            <wp:effectExtent l="0" t="0" r="30480" b="17780"/>
            <wp:docPr id="8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782F" w:rsidRDefault="000D782F" w:rsidP="000D782F">
      <w:pPr>
        <w:jc w:val="both"/>
      </w:pPr>
    </w:p>
    <w:p w:rsidR="000D782F" w:rsidRDefault="000D782F" w:rsidP="000D782F">
      <w:pPr>
        <w:jc w:val="both"/>
      </w:pPr>
      <w:r>
        <w:rPr>
          <w:noProof/>
        </w:rPr>
        <w:drawing>
          <wp:inline distT="0" distB="0" distL="0" distR="0">
            <wp:extent cx="6116320" cy="2842261"/>
            <wp:effectExtent l="0" t="0" r="30480" b="27940"/>
            <wp:docPr id="9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D782F" w:rsidRDefault="000D782F" w:rsidP="000D782F">
      <w:pPr>
        <w:jc w:val="both"/>
        <w:rPr>
          <w:i/>
        </w:rPr>
      </w:pPr>
      <w:r w:rsidRPr="00297BF3">
        <w:rPr>
          <w:i/>
        </w:rPr>
        <w:t>Grafico dell’andamento settimanale</w:t>
      </w:r>
      <w:r>
        <w:rPr>
          <w:i/>
        </w:rPr>
        <w:t xml:space="preserve"> dalla prima settimana del 2013 (G-1) alla seconda settimana di aprile (A-2).</w:t>
      </w:r>
    </w:p>
    <w:p w:rsidR="005256D8" w:rsidRDefault="005256D8" w:rsidP="000D782F">
      <w:pPr>
        <w:jc w:val="both"/>
        <w:rPr>
          <w:i/>
        </w:rPr>
      </w:pPr>
    </w:p>
    <w:p w:rsidR="005256D8" w:rsidRPr="005256D8" w:rsidRDefault="005256D8" w:rsidP="003616CB">
      <w:pPr>
        <w:jc w:val="center"/>
        <w:rPr>
          <w:rFonts w:eastAsia="Times New Roman" w:cs="Times New Roman"/>
          <w:b/>
        </w:rPr>
      </w:pPr>
      <w:r w:rsidRPr="005256D8">
        <w:rPr>
          <w:rFonts w:eastAsia="Times New Roman" w:cs="Times New Roman"/>
          <w:b/>
        </w:rPr>
        <w:t>Conclusioni e considerazioni</w:t>
      </w:r>
    </w:p>
    <w:p w:rsidR="005256D8" w:rsidRPr="005256D8" w:rsidRDefault="005256D8" w:rsidP="005256D8">
      <w:pPr>
        <w:jc w:val="both"/>
      </w:pPr>
      <w:r w:rsidRPr="005256D8">
        <w:t xml:space="preserve">Gli elementi fino a qui riassunti, utilizzati su scala mondiale per definire una condizione epidemica in questi animali, suggeriscono comunque che la causa più probabile sia il </w:t>
      </w:r>
      <w:proofErr w:type="spellStart"/>
      <w:r w:rsidRPr="005256D8">
        <w:rPr>
          <w:i/>
        </w:rPr>
        <w:t>Dolphin</w:t>
      </w:r>
      <w:proofErr w:type="spellEnd"/>
      <w:r w:rsidRPr="005256D8">
        <w:rPr>
          <w:i/>
        </w:rPr>
        <w:t xml:space="preserve"> </w:t>
      </w:r>
      <w:proofErr w:type="spellStart"/>
      <w:r w:rsidRPr="005256D8">
        <w:rPr>
          <w:i/>
        </w:rPr>
        <w:t>Morbillivirus</w:t>
      </w:r>
      <w:proofErr w:type="spellEnd"/>
      <w:r w:rsidRPr="005256D8">
        <w:t xml:space="preserve">, che ha interessato una popolazione </w:t>
      </w:r>
      <w:proofErr w:type="spellStart"/>
      <w:r w:rsidRPr="005256D8">
        <w:rPr>
          <w:i/>
        </w:rPr>
        <w:t>naive</w:t>
      </w:r>
      <w:proofErr w:type="spellEnd"/>
      <w:r w:rsidRPr="005256D8">
        <w:t xml:space="preserve"> o comunque con una bassa immunità di popolazione e coinvolgendo comunque soggetti con età inferiore ai 15-20 anni. </w:t>
      </w:r>
    </w:p>
    <w:p w:rsidR="005256D8" w:rsidRPr="005256D8" w:rsidRDefault="005256D8" w:rsidP="005256D8">
      <w:pPr>
        <w:jc w:val="both"/>
      </w:pPr>
    </w:p>
    <w:p w:rsidR="005256D8" w:rsidRPr="005256D8" w:rsidRDefault="005256D8" w:rsidP="005256D8">
      <w:pPr>
        <w:jc w:val="both"/>
      </w:pPr>
      <w:r w:rsidRPr="005256D8">
        <w:t xml:space="preserve">In tal senso non bisogna </w:t>
      </w:r>
      <w:r w:rsidR="003616CB">
        <w:t>dimenticare</w:t>
      </w:r>
      <w:r w:rsidRPr="005256D8">
        <w:t xml:space="preserve"> gli alti carichi di sostanze inquinanti persistenti riscontrati nei soggetti giovani</w:t>
      </w:r>
      <w:r w:rsidR="003616CB">
        <w:t>,</w:t>
      </w:r>
      <w:r w:rsidRPr="005256D8">
        <w:t xml:space="preserve"> che possono aver ulteriormente ridotto le capacità difensive nei confronti del virus: le alte cariche parassitarie riscontrate anche in soggetti neonati, suggeriscono un passaggio verticale, sottolineando come anche i genitori sono plausibilmente caratterizzati da una intensa infestazione parassitaria. </w:t>
      </w:r>
    </w:p>
    <w:p w:rsidR="005256D8" w:rsidRPr="005256D8" w:rsidRDefault="005256D8" w:rsidP="005256D8">
      <w:pPr>
        <w:jc w:val="both"/>
      </w:pPr>
    </w:p>
    <w:p w:rsidR="005256D8" w:rsidRDefault="003616CB" w:rsidP="005256D8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dati raccolti </w:t>
      </w:r>
      <w:r w:rsidR="005256D8" w:rsidRPr="005256D8">
        <w:rPr>
          <w:rFonts w:eastAsia="Times New Roman" w:cs="Times New Roman"/>
        </w:rPr>
        <w:t xml:space="preserve">riportano una positività molecolare che varia da tra il 30% ed il 40% per </w:t>
      </w:r>
      <w:proofErr w:type="spellStart"/>
      <w:r w:rsidR="005256D8" w:rsidRPr="005256D8">
        <w:rPr>
          <w:rFonts w:eastAsia="Times New Roman" w:cs="Times New Roman"/>
        </w:rPr>
        <w:t>Morbillivirus</w:t>
      </w:r>
      <w:proofErr w:type="spellEnd"/>
      <w:r w:rsidR="005256D8" w:rsidRPr="005256D8">
        <w:rPr>
          <w:rFonts w:eastAsia="Times New Roman" w:cs="Times New Roman"/>
        </w:rPr>
        <w:t xml:space="preserve">. Per quanto bassi (il dato </w:t>
      </w:r>
      <w:r w:rsidR="005256D8" w:rsidRPr="005256D8">
        <w:rPr>
          <w:rFonts w:eastAsiaTheme="minorHAnsi" w:cs="TrebuchetMS"/>
          <w:lang w:eastAsia="en-US"/>
        </w:rPr>
        <w:t xml:space="preserve">non consente di affermare con certezza il ruolo del </w:t>
      </w:r>
      <w:proofErr w:type="spellStart"/>
      <w:r w:rsidR="005256D8" w:rsidRPr="005256D8">
        <w:rPr>
          <w:rFonts w:eastAsiaTheme="minorHAnsi" w:cs="TrebuchetMS"/>
          <w:lang w:eastAsia="en-US"/>
        </w:rPr>
        <w:t>Morbillivirus</w:t>
      </w:r>
      <w:proofErr w:type="spellEnd"/>
      <w:r w:rsidR="005256D8" w:rsidRPr="005256D8">
        <w:rPr>
          <w:rFonts w:eastAsiaTheme="minorHAnsi" w:cs="TrebuchetMS"/>
          <w:lang w:eastAsia="en-US"/>
        </w:rPr>
        <w:t xml:space="preserve"> come causa primaria di morte in questi soggetti, tuttavia la sua azione </w:t>
      </w:r>
      <w:proofErr w:type="spellStart"/>
      <w:r w:rsidR="005256D8" w:rsidRPr="005256D8">
        <w:rPr>
          <w:rFonts w:eastAsiaTheme="minorHAnsi" w:cs="TrebuchetMS"/>
          <w:lang w:eastAsia="en-US"/>
        </w:rPr>
        <w:t>immunodeprimente</w:t>
      </w:r>
      <w:proofErr w:type="spellEnd"/>
      <w:r w:rsidR="005256D8" w:rsidRPr="005256D8">
        <w:rPr>
          <w:rFonts w:eastAsiaTheme="minorHAnsi" w:cs="TrebuchetMS"/>
          <w:lang w:eastAsia="en-US"/>
        </w:rPr>
        <w:t xml:space="preserve"> può avere avuto un ruolo fondamentale nel determinare questa moria anomala</w:t>
      </w:r>
      <w:r w:rsidR="005256D8" w:rsidRPr="005256D8">
        <w:rPr>
          <w:rFonts w:eastAsia="Times New Roman" w:cs="Times New Roman"/>
        </w:rPr>
        <w:t xml:space="preserve">), sono comunque comparabili con quanto è accaduto in Spagna nelle pregresse epidemie. </w:t>
      </w:r>
    </w:p>
    <w:p w:rsidR="003616CB" w:rsidRDefault="003616CB" w:rsidP="005256D8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3616CB" w:rsidRDefault="003616CB" w:rsidP="003616CB">
      <w:pPr>
        <w:jc w:val="both"/>
      </w:pPr>
      <w:r w:rsidRPr="003616CB">
        <w:t>E’ stato possibile inoltre attingere importanti informazioni dalle esperienze registrate in Spagna e trarre spunti utili per interpre</w:t>
      </w:r>
      <w:r>
        <w:t>tare i dati</w:t>
      </w:r>
      <w:r w:rsidRPr="003616CB">
        <w:t>. In particolare:</w:t>
      </w:r>
    </w:p>
    <w:p w:rsidR="003616CB" w:rsidRPr="003616CB" w:rsidRDefault="003616CB" w:rsidP="003616CB">
      <w:pPr>
        <w:jc w:val="both"/>
      </w:pPr>
    </w:p>
    <w:p w:rsidR="003616CB" w:rsidRPr="003616CB" w:rsidRDefault="003616CB" w:rsidP="003616CB">
      <w:pPr>
        <w:pStyle w:val="Paragrafoelenco"/>
        <w:numPr>
          <w:ilvl w:val="0"/>
          <w:numId w:val="1"/>
        </w:numPr>
        <w:jc w:val="both"/>
      </w:pPr>
      <w:r w:rsidRPr="003616CB">
        <w:t xml:space="preserve">già nel 2001, Van </w:t>
      </w:r>
      <w:proofErr w:type="spellStart"/>
      <w:r w:rsidRPr="003616CB">
        <w:t>Bressem</w:t>
      </w:r>
      <w:proofErr w:type="spellEnd"/>
      <w:r w:rsidRPr="003616CB">
        <w:t xml:space="preserve"> </w:t>
      </w:r>
      <w:proofErr w:type="spellStart"/>
      <w:r w:rsidRPr="003616CB">
        <w:t>et</w:t>
      </w:r>
      <w:proofErr w:type="spellEnd"/>
      <w:r w:rsidRPr="003616CB">
        <w:t xml:space="preserve"> al., segnalavano un decremento degli animali sieropositivi per DMV. Tale condizione era legata al rinnovamento della popolazione e alla nascita di nuovi soggetti. Ovviamente i nuovi soggetti che non hanno mai contratto l’infezione sono più suscettibili e possono quindi favorire la diffusione delle epidemie.</w:t>
      </w:r>
    </w:p>
    <w:p w:rsidR="003616CB" w:rsidRPr="003616CB" w:rsidRDefault="003616CB" w:rsidP="003616CB">
      <w:pPr>
        <w:pStyle w:val="Paragrafoelenco"/>
        <w:numPr>
          <w:ilvl w:val="0"/>
          <w:numId w:val="1"/>
        </w:numPr>
        <w:jc w:val="both"/>
      </w:pPr>
      <w:r w:rsidRPr="003616CB">
        <w:t>L’epidemia spagnola tra il 2006 ed il 2008 sembra essersi limitata al Mediterraneo occidentale, risalendo la costa occidentale e arrivando alla Francia. Sono stati colpiti prevalentemente i giovani sub-adulti o comunque quelli con età inferiore ai 10 anni.</w:t>
      </w:r>
    </w:p>
    <w:p w:rsidR="003616CB" w:rsidRPr="003616CB" w:rsidRDefault="003616CB" w:rsidP="003616CB">
      <w:pPr>
        <w:pStyle w:val="Paragrafoelenco"/>
        <w:numPr>
          <w:ilvl w:val="0"/>
          <w:numId w:val="1"/>
        </w:numPr>
        <w:jc w:val="both"/>
      </w:pPr>
      <w:r w:rsidRPr="003616CB">
        <w:t xml:space="preserve">C’è stata una nuova epidemia in Spagna nel 2011 (marzo-aprile) che, plausibilmente, si è estesa anche all’Italia, determinando però, la morte di pochi soggetti (3 </w:t>
      </w:r>
      <w:proofErr w:type="spellStart"/>
      <w:r w:rsidRPr="003616CB">
        <w:t>stenelle</w:t>
      </w:r>
      <w:proofErr w:type="spellEnd"/>
      <w:r w:rsidRPr="003616CB">
        <w:t>, 1 tursiope e 2 balenottere). In questa epidemia concentrata nella parte meridionale della penisola iberica sono stati coinvolti solo i cuccioli o comunque i soggetti con età inferiore ai 3 anni. La percentuale di animali positivi alla ricerca molecolare per DMV si aggirava intorno al 40%.</w:t>
      </w:r>
    </w:p>
    <w:p w:rsidR="003616CB" w:rsidRPr="003616CB" w:rsidRDefault="003616CB" w:rsidP="003616CB">
      <w:pPr>
        <w:pStyle w:val="Paragrafoelenco"/>
        <w:numPr>
          <w:ilvl w:val="0"/>
          <w:numId w:val="1"/>
        </w:numPr>
        <w:jc w:val="both"/>
      </w:pPr>
      <w:r w:rsidRPr="003616CB">
        <w:rPr>
          <w:rFonts w:eastAsia="Times New Roman" w:cs="Times New Roman"/>
        </w:rPr>
        <w:t xml:space="preserve">ci sono state vari animali con positività sistemiche a fine 2012 con lesioni sia a Valencia sia nello stretto di </w:t>
      </w:r>
      <w:proofErr w:type="spellStart"/>
      <w:r w:rsidRPr="003616CB">
        <w:rPr>
          <w:rFonts w:eastAsia="Times New Roman" w:cs="Times New Roman"/>
        </w:rPr>
        <w:t>Gibiliterra</w:t>
      </w:r>
      <w:proofErr w:type="spellEnd"/>
      <w:r w:rsidRPr="003616CB">
        <w:rPr>
          <w:rFonts w:eastAsia="Times New Roman" w:cs="Times New Roman"/>
        </w:rPr>
        <w:t xml:space="preserve"> per </w:t>
      </w:r>
      <w:proofErr w:type="spellStart"/>
      <w:r w:rsidRPr="003616CB">
        <w:rPr>
          <w:rFonts w:eastAsia="Times New Roman" w:cs="Times New Roman"/>
        </w:rPr>
        <w:t>morbillivirus</w:t>
      </w:r>
      <w:proofErr w:type="spellEnd"/>
      <w:r w:rsidRPr="003616CB">
        <w:rPr>
          <w:rFonts w:eastAsia="Times New Roman" w:cs="Times New Roman"/>
        </w:rPr>
        <w:t xml:space="preserve">. </w:t>
      </w:r>
    </w:p>
    <w:p w:rsidR="003616CB" w:rsidRPr="003616CB" w:rsidRDefault="003616CB" w:rsidP="003616CB">
      <w:pPr>
        <w:pStyle w:val="Paragrafoelenco"/>
        <w:numPr>
          <w:ilvl w:val="0"/>
          <w:numId w:val="1"/>
        </w:numPr>
        <w:jc w:val="both"/>
      </w:pPr>
      <w:proofErr w:type="spellStart"/>
      <w:r w:rsidRPr="003616CB">
        <w:rPr>
          <w:i/>
        </w:rPr>
        <w:t>Photobacterium</w:t>
      </w:r>
      <w:proofErr w:type="spellEnd"/>
      <w:r w:rsidRPr="003616CB">
        <w:rPr>
          <w:i/>
        </w:rPr>
        <w:t xml:space="preserve"> </w:t>
      </w:r>
      <w:proofErr w:type="spellStart"/>
      <w:r w:rsidRPr="003616CB">
        <w:rPr>
          <w:i/>
        </w:rPr>
        <w:t>damselae</w:t>
      </w:r>
      <w:proofErr w:type="spellEnd"/>
      <w:r w:rsidRPr="003616CB">
        <w:t xml:space="preserve"> </w:t>
      </w:r>
      <w:proofErr w:type="spellStart"/>
      <w:r w:rsidRPr="003616CB">
        <w:t>subsp</w:t>
      </w:r>
      <w:proofErr w:type="spellEnd"/>
      <w:r w:rsidRPr="003616CB">
        <w:t xml:space="preserve">. </w:t>
      </w:r>
      <w:proofErr w:type="spellStart"/>
      <w:r w:rsidRPr="003616CB">
        <w:rPr>
          <w:i/>
        </w:rPr>
        <w:t>damselae</w:t>
      </w:r>
      <w:proofErr w:type="spellEnd"/>
      <w:r w:rsidRPr="003616CB">
        <w:t>, è un patogeno opportunista in tutti i mammiferi, per quanto è in grado di portare a morte i singoli soggetti, come nell’uomo, con eventi setticemici. E’ inoltre un batterio che si diffonde rapidamente dopo la morte. Non sono mai state riportate epidemie in mammiferi omeotermi.</w:t>
      </w:r>
    </w:p>
    <w:p w:rsidR="003616CB" w:rsidRPr="005256D8" w:rsidRDefault="003616CB" w:rsidP="003616CB">
      <w:pPr>
        <w:pStyle w:val="Paragrafoelenco"/>
        <w:numPr>
          <w:ilvl w:val="0"/>
          <w:numId w:val="1"/>
        </w:numPr>
        <w:jc w:val="both"/>
      </w:pPr>
      <w:r w:rsidRPr="003616CB">
        <w:t>Anche l’</w:t>
      </w:r>
      <w:proofErr w:type="spellStart"/>
      <w:r w:rsidRPr="003616CB">
        <w:rPr>
          <w:i/>
        </w:rPr>
        <w:t>Herpesvirus</w:t>
      </w:r>
      <w:proofErr w:type="spellEnd"/>
      <w:r w:rsidRPr="003616CB">
        <w:t xml:space="preserve"> viene riportato come patogeno opportunista e spesso è associato a </w:t>
      </w:r>
      <w:proofErr w:type="spellStart"/>
      <w:r w:rsidRPr="003616CB">
        <w:t>Morbillivirus</w:t>
      </w:r>
      <w:proofErr w:type="spellEnd"/>
      <w:r w:rsidRPr="003616CB">
        <w:t xml:space="preserve"> nei cetacei, ma non è mai stato descritto come responsabile di epidemie.</w:t>
      </w:r>
    </w:p>
    <w:p w:rsidR="005256D8" w:rsidRPr="005256D8" w:rsidRDefault="005256D8" w:rsidP="005256D8">
      <w:pPr>
        <w:autoSpaceDE w:val="0"/>
        <w:autoSpaceDN w:val="0"/>
        <w:adjustRightInd w:val="0"/>
        <w:jc w:val="both"/>
        <w:rPr>
          <w:rFonts w:eastAsiaTheme="minorHAnsi" w:cs="TrebuchetMS"/>
          <w:lang w:eastAsia="en-US"/>
        </w:rPr>
      </w:pPr>
    </w:p>
    <w:p w:rsidR="003616CB" w:rsidRDefault="005256D8" w:rsidP="005256D8">
      <w:pPr>
        <w:jc w:val="both"/>
      </w:pPr>
      <w:r w:rsidRPr="005256D8">
        <w:t xml:space="preserve">Da sottolineare che sembrano essere assenti o poco evidenti lesioni certe e patognomoniche del </w:t>
      </w:r>
      <w:proofErr w:type="spellStart"/>
      <w:r w:rsidRPr="005256D8">
        <w:t>Morbillivirus</w:t>
      </w:r>
      <w:proofErr w:type="spellEnd"/>
      <w:r w:rsidRPr="005256D8">
        <w:t xml:space="preserve">, ad eccezione della deplezione linfoide e della necrosi linfocitaria. Si ricorda che l’azione patogena del virus è prima diretta al distretto linfoide (è prima </w:t>
      </w:r>
      <w:proofErr w:type="spellStart"/>
      <w:r w:rsidRPr="005256D8">
        <w:t>linfotropo</w:t>
      </w:r>
      <w:proofErr w:type="spellEnd"/>
      <w:r w:rsidRPr="005256D8">
        <w:t xml:space="preserve">); la mancanza di lesioni encefaliche o polmonari potrebbe essere indicativo di un’infezione acuta o precoce e quindi potrebbe essere troppo presto per evidenziare le lesioni encefaliche o i sincizi. </w:t>
      </w:r>
    </w:p>
    <w:p w:rsidR="003616CB" w:rsidRDefault="003616CB" w:rsidP="005256D8">
      <w:pPr>
        <w:jc w:val="both"/>
      </w:pPr>
    </w:p>
    <w:p w:rsidR="005256D8" w:rsidRDefault="005256D8" w:rsidP="005256D8">
      <w:pPr>
        <w:jc w:val="both"/>
      </w:pPr>
      <w:r w:rsidRPr="005256D8">
        <w:t xml:space="preserve">I decessi sarebbero quindi determinati da patogeni secondari che sfruttano l’azione </w:t>
      </w:r>
      <w:proofErr w:type="spellStart"/>
      <w:r w:rsidRPr="005256D8">
        <w:t>immunodeprimente</w:t>
      </w:r>
      <w:proofErr w:type="spellEnd"/>
      <w:r w:rsidRPr="005256D8">
        <w:t xml:space="preserve"> del virus. Da capire, inoltre, se il virus abbia cambiato comportamento, manifestando azioni differenti sull’ospite. La stessa popolazione di </w:t>
      </w:r>
      <w:proofErr w:type="spellStart"/>
      <w:r w:rsidRPr="005256D8">
        <w:t>stenelle</w:t>
      </w:r>
      <w:proofErr w:type="spellEnd"/>
      <w:r w:rsidRPr="005256D8">
        <w:t xml:space="preserve"> potrebbe aver reagito in maniera diversa, per la concomitanza di altri fattori (inquinamento, stagione, dieta, etc.).</w:t>
      </w:r>
    </w:p>
    <w:p w:rsidR="005256D8" w:rsidRDefault="005256D8" w:rsidP="005256D8">
      <w:pPr>
        <w:jc w:val="both"/>
      </w:pPr>
    </w:p>
    <w:p w:rsidR="005256D8" w:rsidRPr="00297BF3" w:rsidRDefault="005256D8" w:rsidP="005256D8">
      <w:pPr>
        <w:jc w:val="both"/>
        <w:rPr>
          <w:i/>
        </w:rPr>
      </w:pPr>
    </w:p>
    <w:p w:rsidR="000D782F" w:rsidRDefault="000D782F" w:rsidP="000D782F">
      <w:pPr>
        <w:jc w:val="both"/>
      </w:pPr>
    </w:p>
    <w:p w:rsidR="000D782F" w:rsidRDefault="003616CB" w:rsidP="003616CB">
      <w:pPr>
        <w:jc w:val="center"/>
        <w:rPr>
          <w:b/>
        </w:rPr>
      </w:pPr>
      <w:r>
        <w:rPr>
          <w:b/>
        </w:rPr>
        <w:t xml:space="preserve">Relazione tra </w:t>
      </w:r>
      <w:proofErr w:type="spellStart"/>
      <w:r>
        <w:rPr>
          <w:b/>
        </w:rPr>
        <w:t>Morbillivirus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Delphini</w:t>
      </w:r>
      <w:proofErr w:type="spellEnd"/>
      <w:r>
        <w:rPr>
          <w:b/>
        </w:rPr>
        <w:t xml:space="preserve"> e l</w:t>
      </w:r>
      <w:r w:rsidR="000D782F">
        <w:rPr>
          <w:b/>
        </w:rPr>
        <w:t>’età</w:t>
      </w:r>
      <w:r w:rsidR="00FA3B5D">
        <w:rPr>
          <w:b/>
        </w:rPr>
        <w:t xml:space="preserve"> degli esemplari</w:t>
      </w:r>
    </w:p>
    <w:p w:rsidR="005256D8" w:rsidRPr="009A77E1" w:rsidRDefault="000D782F" w:rsidP="005256D8">
      <w:pPr>
        <w:autoSpaceDE w:val="0"/>
        <w:autoSpaceDN w:val="0"/>
        <w:adjustRightInd w:val="0"/>
        <w:jc w:val="both"/>
        <w:rPr>
          <w:rFonts w:eastAsiaTheme="minorHAnsi" w:cs="TrebuchetMS"/>
          <w:lang w:eastAsia="en-US"/>
        </w:rPr>
      </w:pPr>
      <w:r>
        <w:t>Per poter contestualizzare i dati diagnostici è necessario capire quali individui vengono colpiti maggiormente cercando, in particolare, di stimarne l’età</w:t>
      </w:r>
      <w:r w:rsidR="005256D8">
        <w:t xml:space="preserve">; </w:t>
      </w:r>
      <w:r w:rsidRPr="005256D8">
        <w:t xml:space="preserve">la maturità sessuale viene raggiunta </w:t>
      </w:r>
      <w:r w:rsidR="005256D8">
        <w:lastRenderedPageBreak/>
        <w:t xml:space="preserve">dalle </w:t>
      </w:r>
      <w:proofErr w:type="spellStart"/>
      <w:r w:rsidR="005256D8">
        <w:t>Stenelle</w:t>
      </w:r>
      <w:proofErr w:type="spellEnd"/>
      <w:r w:rsidR="005256D8">
        <w:t xml:space="preserve"> </w:t>
      </w:r>
      <w:r w:rsidRPr="005256D8">
        <w:t>ad un età compresa tra i 7 ed i 9 anni, ovvero ad una lunghezza superiore ai 190 cm, sia nei maschi sia nelle femmine.</w:t>
      </w:r>
      <w:r w:rsidR="005256D8" w:rsidRPr="005256D8">
        <w:t xml:space="preserve"> La quasi totalità dei soggetti (86 soggetti pari al 99%) è risultata nata dopo la moria del 1990-92 determinata dall’epidemia di </w:t>
      </w:r>
      <w:proofErr w:type="spellStart"/>
      <w:r w:rsidR="005256D8" w:rsidRPr="005256D8">
        <w:t>morbillivirus</w:t>
      </w:r>
      <w:proofErr w:type="spellEnd"/>
      <w:r w:rsidR="005256D8" w:rsidRPr="005256D8">
        <w:t xml:space="preserve"> e quindi, ragionevolmente, non avrebbero avuto anticorpi circolanti per difendersi da un’eventuale nuova infezione.</w:t>
      </w:r>
      <w:r w:rsidR="005256D8">
        <w:t xml:space="preserve"> </w:t>
      </w:r>
      <w:r w:rsidR="005256D8" w:rsidRPr="005256D8">
        <w:t>In particolare, circa un terzo (30%)</w:t>
      </w:r>
      <w:r w:rsidR="005256D8">
        <w:t xml:space="preserve"> degli esemplari</w:t>
      </w:r>
      <w:r w:rsidR="005256D8" w:rsidRPr="005256D8">
        <w:t xml:space="preserve"> ha una lunghezza inferiore ai 150 cm e quindi inferiore ad un anno. Sono stati esaminati 32 maschi e 22 femmine mentre 64 sono i soggetti per cui non è stato determinato il sesso. </w:t>
      </w:r>
      <w:r w:rsidR="005256D8" w:rsidRPr="005256D8">
        <w:rPr>
          <w:rFonts w:eastAsiaTheme="minorHAnsi" w:cs="TrebuchetMS"/>
          <w:lang w:eastAsia="en-US"/>
        </w:rPr>
        <w:t>In generale la maggior parte delle carcasse presentavano un cattivo stato di conservazione, lo stomaco vuoto ed un’ alta carica parassitaria, indice di un quadro immunitario significativamente compromesso.</w:t>
      </w:r>
    </w:p>
    <w:p w:rsidR="000D782F" w:rsidRDefault="000D782F" w:rsidP="000D782F">
      <w:pPr>
        <w:jc w:val="both"/>
      </w:pPr>
    </w:p>
    <w:p w:rsidR="000D782F" w:rsidRDefault="000D782F" w:rsidP="000D782F">
      <w:pPr>
        <w:jc w:val="both"/>
      </w:pPr>
    </w:p>
    <w:p w:rsidR="000D782F" w:rsidRDefault="000D782F" w:rsidP="000D782F">
      <w:pPr>
        <w:jc w:val="both"/>
      </w:pPr>
      <w:r>
        <w:rPr>
          <w:noProof/>
        </w:rPr>
        <w:drawing>
          <wp:inline distT="0" distB="0" distL="0" distR="0">
            <wp:extent cx="6116320" cy="3954137"/>
            <wp:effectExtent l="0" t="0" r="5080" b="8890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95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2F" w:rsidRPr="00FE6A6A" w:rsidRDefault="000D782F" w:rsidP="000D782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6A9E">
        <w:rPr>
          <w:rFonts w:ascii="Times New Roman" w:hAnsi="Times New Roman" w:cs="Times New Roman"/>
          <w:sz w:val="20"/>
          <w:szCs w:val="20"/>
          <w:lang w:val="en-US"/>
        </w:rPr>
        <w:t xml:space="preserve">Fig. 1: </w:t>
      </w:r>
      <w:r w:rsidRPr="00526A9E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  <w:lang w:val="en-US"/>
        </w:rPr>
        <w:t xml:space="preserve">Di </w:t>
      </w:r>
      <w:proofErr w:type="spellStart"/>
      <w:r w:rsidRPr="00526A9E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  <w:lang w:val="en-US"/>
        </w:rPr>
        <w:t>Meglio</w:t>
      </w:r>
      <w:proofErr w:type="spellEnd"/>
      <w:r w:rsidRPr="00526A9E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  <w:lang w:val="en-US"/>
        </w:rPr>
        <w:t xml:space="preserve"> N. Romero Alvarez R. </w:t>
      </w:r>
      <w:proofErr w:type="spellStart"/>
      <w:r w:rsidRPr="00526A9E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  <w:lang w:val="en-US"/>
        </w:rPr>
        <w:t>Collet</w:t>
      </w:r>
      <w:proofErr w:type="spellEnd"/>
      <w:r w:rsidRPr="00526A9E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  <w:lang w:val="en-US"/>
        </w:rPr>
        <w:t xml:space="preserve"> A. Growth comparison in striped dolphins, </w:t>
      </w:r>
      <w:proofErr w:type="spellStart"/>
      <w:r w:rsidRPr="00526A9E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  <w:lang w:val="en-US"/>
        </w:rPr>
        <w:t>Stenella</w:t>
      </w:r>
      <w:proofErr w:type="spellEnd"/>
      <w:r w:rsidRPr="00526A9E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6A9E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  <w:lang w:val="en-US"/>
        </w:rPr>
        <w:t>coeruleoalba</w:t>
      </w:r>
      <w:proofErr w:type="spellEnd"/>
      <w:r w:rsidRPr="00526A9E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  <w:lang w:val="en-US"/>
        </w:rPr>
        <w:t xml:space="preserve">, from the Atlantic and Mediterranean coasts of France. </w:t>
      </w:r>
      <w:proofErr w:type="spellStart"/>
      <w:r w:rsidRPr="00FE6A6A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Aquatic</w:t>
      </w:r>
      <w:proofErr w:type="spellEnd"/>
      <w:r w:rsidRPr="00FE6A6A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FE6A6A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Mammals</w:t>
      </w:r>
      <w:proofErr w:type="spellEnd"/>
      <w:r w:rsidRPr="00FE6A6A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22(1). 1996. 11-19.</w:t>
      </w:r>
    </w:p>
    <w:p w:rsidR="000D782F" w:rsidRPr="007D29B3" w:rsidRDefault="000D782F" w:rsidP="000D782F">
      <w:pPr>
        <w:jc w:val="both"/>
      </w:pPr>
    </w:p>
    <w:p w:rsidR="000D782F" w:rsidRDefault="000D782F" w:rsidP="000D782F">
      <w:pPr>
        <w:jc w:val="both"/>
      </w:pPr>
      <w:r>
        <w:t xml:space="preserve">In questo episodio di mortalità anomala, il dato della lunghezza totale è stato registrato su 87 soggetti su 118 </w:t>
      </w:r>
      <w:proofErr w:type="spellStart"/>
      <w:r>
        <w:t>stenelle</w:t>
      </w:r>
      <w:proofErr w:type="spellEnd"/>
      <w:r>
        <w:t xml:space="preserve"> e indeterminati </w:t>
      </w:r>
      <w:proofErr w:type="spellStart"/>
      <w:r>
        <w:t>spiaggiati</w:t>
      </w:r>
      <w:proofErr w:type="spellEnd"/>
      <w:r>
        <w:t xml:space="preserve"> tra gennaio ed aprile (87%).  Secondo i dati di Di-Meglio </w:t>
      </w:r>
      <w:proofErr w:type="spellStart"/>
      <w:r>
        <w:t>et</w:t>
      </w:r>
      <w:proofErr w:type="spellEnd"/>
      <w:r>
        <w:t xml:space="preserve"> al., 56 (64,4%) di questi soggetti aveva una lunghezza inferiore a 190 cm, preso come riferimento dai dati sul Mediterraneo. Nel caso delle </w:t>
      </w:r>
      <w:proofErr w:type="spellStart"/>
      <w:r>
        <w:t>stenelle</w:t>
      </w:r>
      <w:proofErr w:type="spellEnd"/>
      <w:r>
        <w:t xml:space="preserve"> del Mediterraneo occidentale, questa lunghezza corrisponde ad un soggetto giovane ma maturo, visto che la maturità sessuale viene raggiunta nel maschio a 8-9 anni, ad una lunghezza massima di 180 cm, mentre nelle femmine, questa condizione viene raggiunta prima, a 5-6 anni ad una lunghezza massima di 175 cm (</w:t>
      </w:r>
      <w:proofErr w:type="spellStart"/>
      <w:r>
        <w:t>Calzada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al., 1997).</w:t>
      </w:r>
    </w:p>
    <w:p w:rsidR="005256D8" w:rsidRDefault="005256D8" w:rsidP="000D782F">
      <w:pPr>
        <w:jc w:val="both"/>
      </w:pPr>
    </w:p>
    <w:p w:rsidR="000D782F" w:rsidRDefault="000D782F" w:rsidP="000D782F">
      <w:pPr>
        <w:jc w:val="both"/>
      </w:pPr>
      <w:r>
        <w:t xml:space="preserve">Rispetto ai dati espressi dalle linee guida del NOAA, 73 soggetti (87,3%) hanno una lunghezza inferiore ai 202 cm che, per le </w:t>
      </w:r>
      <w:proofErr w:type="spellStart"/>
      <w:r>
        <w:t>stenelle</w:t>
      </w:r>
      <w:proofErr w:type="spellEnd"/>
      <w:r>
        <w:t xml:space="preserve"> atlantiche, generalmente più grandi di quelle Mediterranee, corrisponde ai 7 anni e quindi alla maturità sessuale dei soggetti. Questa lunghezza nei soggetti mediterranei, corrisponde al raggiungimento della maturità corporea, con la completa </w:t>
      </w:r>
      <w:r>
        <w:lastRenderedPageBreak/>
        <w:t>ossificazione delle strutture vertebrali, ad un’età inferiore ai 15-20 anni per i maschi (</w:t>
      </w:r>
      <w:proofErr w:type="spellStart"/>
      <w:r>
        <w:t>Calzada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al., 1997)</w:t>
      </w:r>
    </w:p>
    <w:p w:rsidR="000D782F" w:rsidRDefault="000D782F" w:rsidP="000D782F">
      <w:pPr>
        <w:jc w:val="both"/>
      </w:pPr>
    </w:p>
    <w:p w:rsidR="000D782F" w:rsidRDefault="000D782F" w:rsidP="000D782F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4597400" cy="2755900"/>
            <wp:effectExtent l="0" t="0" r="0" b="12700"/>
            <wp:wrapTopAndBottom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782F" w:rsidRDefault="000D782F" w:rsidP="000D782F">
      <w:pPr>
        <w:jc w:val="both"/>
      </w:pPr>
      <w:r>
        <w:t xml:space="preserve">Infine, tale età viene raggiunta da 51 soggetti, secondo il metodo di proposto dalla dr.ssa Marsili, pari al 58,6%. </w:t>
      </w:r>
    </w:p>
    <w:p w:rsidR="005256D8" w:rsidRDefault="005256D8" w:rsidP="000D782F">
      <w:pPr>
        <w:jc w:val="both"/>
      </w:pPr>
    </w:p>
    <w:p w:rsidR="000D782F" w:rsidRDefault="000D782F" w:rsidP="000D782F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97400" cy="2755900"/>
            <wp:effectExtent l="0" t="0" r="0" b="12700"/>
            <wp:wrapTopAndBottom/>
            <wp:docPr id="1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782F" w:rsidRDefault="000D782F" w:rsidP="000D782F">
      <w:pPr>
        <w:jc w:val="both"/>
      </w:pPr>
    </w:p>
    <w:p w:rsidR="000D782F" w:rsidRDefault="000D782F" w:rsidP="000D782F">
      <w:pPr>
        <w:jc w:val="both"/>
      </w:pPr>
    </w:p>
    <w:p w:rsidR="000D782F" w:rsidRDefault="000D782F" w:rsidP="000D782F">
      <w:pPr>
        <w:jc w:val="both"/>
      </w:pPr>
    </w:p>
    <w:p w:rsidR="000D782F" w:rsidRDefault="000D782F" w:rsidP="000D782F">
      <w:pPr>
        <w:jc w:val="both"/>
      </w:pPr>
    </w:p>
    <w:p w:rsidR="000D782F" w:rsidRDefault="000D782F" w:rsidP="000D782F">
      <w:pPr>
        <w:pStyle w:val="Paragrafoelenco"/>
        <w:jc w:val="both"/>
      </w:pPr>
    </w:p>
    <w:p w:rsidR="000D782F" w:rsidRPr="007A760C" w:rsidRDefault="000D782F" w:rsidP="000D782F">
      <w:pPr>
        <w:pStyle w:val="Paragrafoelenco"/>
        <w:jc w:val="both"/>
      </w:pPr>
    </w:p>
    <w:p w:rsidR="000D782F" w:rsidRDefault="000D782F" w:rsidP="000D782F">
      <w:pPr>
        <w:jc w:val="both"/>
      </w:pPr>
      <w:r>
        <w:t xml:space="preserve"> </w:t>
      </w:r>
    </w:p>
    <w:p w:rsidR="0037233B" w:rsidRDefault="0037233B" w:rsidP="000D782F">
      <w:pPr>
        <w:jc w:val="both"/>
      </w:pPr>
    </w:p>
    <w:p w:rsidR="00E00E7C" w:rsidRDefault="00E00E7C" w:rsidP="000D782F">
      <w:pPr>
        <w:jc w:val="both"/>
      </w:pPr>
    </w:p>
    <w:p w:rsidR="00BE3B67" w:rsidRDefault="00BE3B67"/>
    <w:sectPr w:rsidR="00BE3B67" w:rsidSect="00BE3B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391A"/>
    <w:multiLevelType w:val="hybridMultilevel"/>
    <w:tmpl w:val="C4464E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81610"/>
    <w:rsid w:val="000D782F"/>
    <w:rsid w:val="003616CB"/>
    <w:rsid w:val="0037233B"/>
    <w:rsid w:val="00407406"/>
    <w:rsid w:val="005256D8"/>
    <w:rsid w:val="00681610"/>
    <w:rsid w:val="00685F59"/>
    <w:rsid w:val="008745AD"/>
    <w:rsid w:val="009A77E1"/>
    <w:rsid w:val="00BE3B67"/>
    <w:rsid w:val="00DB5471"/>
    <w:rsid w:val="00E00E7C"/>
    <w:rsid w:val="00FA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61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6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6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610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A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Momentus:Users:giannipavan:Desktop:BANCA%20DATI%20SPIAGGIAMENTI:Tabella%20BDS%202012-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Momentus:Users:giannipavan:Desktop:BANCA%20DATI%20SPIAGGIAMENTI:Tabella%20BDS%202012-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Momentus:Users:giannipavan:Desktop:BANCA%20DATI%20SPIAGGIAMENTI:Tabella%20BDS%202012-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18"/>
  <c:chart>
    <c:plotArea>
      <c:layout/>
      <c:pieChart>
        <c:varyColors val="1"/>
        <c:ser>
          <c:idx val="0"/>
          <c:order val="0"/>
          <c:cat>
            <c:strRef>
              <c:f>Foglio1!$W$3:$Z$3</c:f>
              <c:strCache>
                <c:ptCount val="4"/>
                <c:pt idx="0">
                  <c:v>Stenelle</c:v>
                </c:pt>
                <c:pt idx="1">
                  <c:v>Tursiopi</c:v>
                </c:pt>
                <c:pt idx="2">
                  <c:v>Undetermined</c:v>
                </c:pt>
                <c:pt idx="3">
                  <c:v>Altri</c:v>
                </c:pt>
              </c:strCache>
            </c:strRef>
          </c:cat>
          <c:val>
            <c:numRef>
              <c:f>Foglio1!$W$4:$Z$4</c:f>
              <c:numCache>
                <c:formatCode>General</c:formatCode>
                <c:ptCount val="4"/>
                <c:pt idx="0">
                  <c:v>98</c:v>
                </c:pt>
                <c:pt idx="1">
                  <c:v>10</c:v>
                </c:pt>
                <c:pt idx="2">
                  <c:v>20</c:v>
                </c:pt>
                <c:pt idx="3">
                  <c:v>6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600"/>
          </a:pPr>
          <a:endParaRPr lang="it-IT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18"/>
  <c:chart>
    <c:plotArea>
      <c:layout/>
      <c:lineChart>
        <c:grouping val="standard"/>
        <c:ser>
          <c:idx val="0"/>
          <c:order val="0"/>
          <c:tx>
            <c:strRef>
              <c:f>Foglio1!$W$5</c:f>
              <c:strCache>
                <c:ptCount val="1"/>
                <c:pt idx="0">
                  <c:v>Stenelle</c:v>
                </c:pt>
              </c:strCache>
            </c:strRef>
          </c:tx>
          <c:marker>
            <c:symbol val="none"/>
          </c:marker>
          <c:cat>
            <c:strRef>
              <c:f>Foglio1!$V$6:$V$19</c:f>
              <c:strCache>
                <c:ptCount val="14"/>
                <c:pt idx="0">
                  <c:v>G-1</c:v>
                </c:pt>
                <c:pt idx="1">
                  <c:v>G-2</c:v>
                </c:pt>
                <c:pt idx="2">
                  <c:v>G-3</c:v>
                </c:pt>
                <c:pt idx="3">
                  <c:v>G-4</c:v>
                </c:pt>
                <c:pt idx="4">
                  <c:v>F-1</c:v>
                </c:pt>
                <c:pt idx="5">
                  <c:v>F-2</c:v>
                </c:pt>
                <c:pt idx="6">
                  <c:v>F-3</c:v>
                </c:pt>
                <c:pt idx="7">
                  <c:v>F-4</c:v>
                </c:pt>
                <c:pt idx="8">
                  <c:v>M-1</c:v>
                </c:pt>
                <c:pt idx="9">
                  <c:v>M-2</c:v>
                </c:pt>
                <c:pt idx="10">
                  <c:v>M-3</c:v>
                </c:pt>
                <c:pt idx="11">
                  <c:v>M-4</c:v>
                </c:pt>
                <c:pt idx="12">
                  <c:v>A-1</c:v>
                </c:pt>
                <c:pt idx="13">
                  <c:v>A-2</c:v>
                </c:pt>
              </c:strCache>
            </c:strRef>
          </c:cat>
          <c:val>
            <c:numRef>
              <c:f>Foglio1!$W$6:$W$19</c:f>
              <c:numCache>
                <c:formatCode>General</c:formatCode>
                <c:ptCount val="14"/>
                <c:pt idx="0">
                  <c:v>5</c:v>
                </c:pt>
                <c:pt idx="1">
                  <c:v>2</c:v>
                </c:pt>
                <c:pt idx="2">
                  <c:v>15</c:v>
                </c:pt>
                <c:pt idx="3">
                  <c:v>1</c:v>
                </c:pt>
                <c:pt idx="4">
                  <c:v>8</c:v>
                </c:pt>
                <c:pt idx="5">
                  <c:v>7</c:v>
                </c:pt>
                <c:pt idx="6">
                  <c:v>8</c:v>
                </c:pt>
                <c:pt idx="7">
                  <c:v>11</c:v>
                </c:pt>
                <c:pt idx="8">
                  <c:v>10</c:v>
                </c:pt>
                <c:pt idx="9">
                  <c:v>11</c:v>
                </c:pt>
                <c:pt idx="10">
                  <c:v>7</c:v>
                </c:pt>
                <c:pt idx="11">
                  <c:v>9</c:v>
                </c:pt>
                <c:pt idx="12">
                  <c:v>3</c:v>
                </c:pt>
                <c:pt idx="13">
                  <c:v>1</c:v>
                </c:pt>
              </c:numCache>
            </c:numRef>
          </c:val>
        </c:ser>
        <c:ser>
          <c:idx val="1"/>
          <c:order val="1"/>
          <c:tx>
            <c:strRef>
              <c:f>Foglio1!$X$5</c:f>
              <c:strCache>
                <c:ptCount val="1"/>
                <c:pt idx="0">
                  <c:v>Tursiopi</c:v>
                </c:pt>
              </c:strCache>
            </c:strRef>
          </c:tx>
          <c:marker>
            <c:symbol val="none"/>
          </c:marker>
          <c:cat>
            <c:strRef>
              <c:f>Foglio1!$V$6:$V$19</c:f>
              <c:strCache>
                <c:ptCount val="14"/>
                <c:pt idx="0">
                  <c:v>G-1</c:v>
                </c:pt>
                <c:pt idx="1">
                  <c:v>G-2</c:v>
                </c:pt>
                <c:pt idx="2">
                  <c:v>G-3</c:v>
                </c:pt>
                <c:pt idx="3">
                  <c:v>G-4</c:v>
                </c:pt>
                <c:pt idx="4">
                  <c:v>F-1</c:v>
                </c:pt>
                <c:pt idx="5">
                  <c:v>F-2</c:v>
                </c:pt>
                <c:pt idx="6">
                  <c:v>F-3</c:v>
                </c:pt>
                <c:pt idx="7">
                  <c:v>F-4</c:v>
                </c:pt>
                <c:pt idx="8">
                  <c:v>M-1</c:v>
                </c:pt>
                <c:pt idx="9">
                  <c:v>M-2</c:v>
                </c:pt>
                <c:pt idx="10">
                  <c:v>M-3</c:v>
                </c:pt>
                <c:pt idx="11">
                  <c:v>M-4</c:v>
                </c:pt>
                <c:pt idx="12">
                  <c:v>A-1</c:v>
                </c:pt>
                <c:pt idx="13">
                  <c:v>A-2</c:v>
                </c:pt>
              </c:strCache>
            </c:strRef>
          </c:cat>
          <c:val>
            <c:numRef>
              <c:f>Foglio1!$X$6:$X$19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2"/>
          <c:order val="2"/>
          <c:tx>
            <c:strRef>
              <c:f>Foglio1!$Y$5</c:f>
              <c:strCache>
                <c:ptCount val="1"/>
                <c:pt idx="0">
                  <c:v>Undetermined</c:v>
                </c:pt>
              </c:strCache>
            </c:strRef>
          </c:tx>
          <c:marker>
            <c:symbol val="none"/>
          </c:marker>
          <c:cat>
            <c:strRef>
              <c:f>Foglio1!$V$6:$V$19</c:f>
              <c:strCache>
                <c:ptCount val="14"/>
                <c:pt idx="0">
                  <c:v>G-1</c:v>
                </c:pt>
                <c:pt idx="1">
                  <c:v>G-2</c:v>
                </c:pt>
                <c:pt idx="2">
                  <c:v>G-3</c:v>
                </c:pt>
                <c:pt idx="3">
                  <c:v>G-4</c:v>
                </c:pt>
                <c:pt idx="4">
                  <c:v>F-1</c:v>
                </c:pt>
                <c:pt idx="5">
                  <c:v>F-2</c:v>
                </c:pt>
                <c:pt idx="6">
                  <c:v>F-3</c:v>
                </c:pt>
                <c:pt idx="7">
                  <c:v>F-4</c:v>
                </c:pt>
                <c:pt idx="8">
                  <c:v>M-1</c:v>
                </c:pt>
                <c:pt idx="9">
                  <c:v>M-2</c:v>
                </c:pt>
                <c:pt idx="10">
                  <c:v>M-3</c:v>
                </c:pt>
                <c:pt idx="11">
                  <c:v>M-4</c:v>
                </c:pt>
                <c:pt idx="12">
                  <c:v>A-1</c:v>
                </c:pt>
                <c:pt idx="13">
                  <c:v>A-2</c:v>
                </c:pt>
              </c:strCache>
            </c:strRef>
          </c:cat>
          <c:val>
            <c:numRef>
              <c:f>Foglio1!$Y$6:$Y$19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4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3</c:v>
                </c:pt>
              </c:numCache>
            </c:numRef>
          </c:val>
        </c:ser>
        <c:ser>
          <c:idx val="3"/>
          <c:order val="3"/>
          <c:tx>
            <c:strRef>
              <c:f>Foglio1!$Z$5</c:f>
              <c:strCache>
                <c:ptCount val="1"/>
                <c:pt idx="0">
                  <c:v>Altri</c:v>
                </c:pt>
              </c:strCache>
            </c:strRef>
          </c:tx>
          <c:marker>
            <c:symbol val="none"/>
          </c:marker>
          <c:cat>
            <c:strRef>
              <c:f>Foglio1!$V$6:$V$19</c:f>
              <c:strCache>
                <c:ptCount val="14"/>
                <c:pt idx="0">
                  <c:v>G-1</c:v>
                </c:pt>
                <c:pt idx="1">
                  <c:v>G-2</c:v>
                </c:pt>
                <c:pt idx="2">
                  <c:v>G-3</c:v>
                </c:pt>
                <c:pt idx="3">
                  <c:v>G-4</c:v>
                </c:pt>
                <c:pt idx="4">
                  <c:v>F-1</c:v>
                </c:pt>
                <c:pt idx="5">
                  <c:v>F-2</c:v>
                </c:pt>
                <c:pt idx="6">
                  <c:v>F-3</c:v>
                </c:pt>
                <c:pt idx="7">
                  <c:v>F-4</c:v>
                </c:pt>
                <c:pt idx="8">
                  <c:v>M-1</c:v>
                </c:pt>
                <c:pt idx="9">
                  <c:v>M-2</c:v>
                </c:pt>
                <c:pt idx="10">
                  <c:v>M-3</c:v>
                </c:pt>
                <c:pt idx="11">
                  <c:v>M-4</c:v>
                </c:pt>
                <c:pt idx="12">
                  <c:v>A-1</c:v>
                </c:pt>
                <c:pt idx="13">
                  <c:v>A-2</c:v>
                </c:pt>
              </c:strCache>
            </c:strRef>
          </c:cat>
          <c:val>
            <c:numRef>
              <c:f>Foglio1!$Z$6:$Z$19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</c:ser>
        <c:marker val="1"/>
        <c:axId val="71355776"/>
        <c:axId val="71369856"/>
      </c:lineChart>
      <c:catAx>
        <c:axId val="71355776"/>
        <c:scaling>
          <c:orientation val="minMax"/>
        </c:scaling>
        <c:axPos val="b"/>
        <c:tickLblPos val="nextTo"/>
        <c:crossAx val="71369856"/>
        <c:crosses val="autoZero"/>
        <c:auto val="1"/>
        <c:lblAlgn val="ctr"/>
        <c:lblOffset val="100"/>
      </c:catAx>
      <c:valAx>
        <c:axId val="71369856"/>
        <c:scaling>
          <c:orientation val="minMax"/>
        </c:scaling>
        <c:axPos val="l"/>
        <c:majorGridlines/>
        <c:numFmt formatCode="General" sourceLinked="1"/>
        <c:tickLblPos val="nextTo"/>
        <c:crossAx val="71355776"/>
        <c:crosses val="autoZero"/>
        <c:crossBetween val="between"/>
      </c:valAx>
    </c:plotArea>
    <c:legend>
      <c:legendPos val="r"/>
      <c:txPr>
        <a:bodyPr/>
        <a:lstStyle/>
        <a:p>
          <a:pPr>
            <a:defRPr sz="1600"/>
          </a:pPr>
          <a:endParaRPr lang="it-IT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18"/>
  <c:chart>
    <c:plotArea>
      <c:layout/>
      <c:barChart>
        <c:barDir val="col"/>
        <c:grouping val="stacked"/>
        <c:ser>
          <c:idx val="0"/>
          <c:order val="0"/>
          <c:tx>
            <c:strRef>
              <c:f>Foglio1!$W$5</c:f>
              <c:strCache>
                <c:ptCount val="1"/>
                <c:pt idx="0">
                  <c:v>Stenelle</c:v>
                </c:pt>
              </c:strCache>
            </c:strRef>
          </c:tx>
          <c:cat>
            <c:strRef>
              <c:f>Foglio1!$V$6:$V$19</c:f>
              <c:strCache>
                <c:ptCount val="14"/>
                <c:pt idx="0">
                  <c:v>G-1</c:v>
                </c:pt>
                <c:pt idx="1">
                  <c:v>G-2</c:v>
                </c:pt>
                <c:pt idx="2">
                  <c:v>G-3</c:v>
                </c:pt>
                <c:pt idx="3">
                  <c:v>G-4</c:v>
                </c:pt>
                <c:pt idx="4">
                  <c:v>F-1</c:v>
                </c:pt>
                <c:pt idx="5">
                  <c:v>F-2</c:v>
                </c:pt>
                <c:pt idx="6">
                  <c:v>F-3</c:v>
                </c:pt>
                <c:pt idx="7">
                  <c:v>F-4</c:v>
                </c:pt>
                <c:pt idx="8">
                  <c:v>M-1</c:v>
                </c:pt>
                <c:pt idx="9">
                  <c:v>M-2</c:v>
                </c:pt>
                <c:pt idx="10">
                  <c:v>M-3</c:v>
                </c:pt>
                <c:pt idx="11">
                  <c:v>M-4</c:v>
                </c:pt>
                <c:pt idx="12">
                  <c:v>A-1</c:v>
                </c:pt>
                <c:pt idx="13">
                  <c:v>A-2</c:v>
                </c:pt>
              </c:strCache>
            </c:strRef>
          </c:cat>
          <c:val>
            <c:numRef>
              <c:f>Foglio1!$W$6:$W$19</c:f>
              <c:numCache>
                <c:formatCode>General</c:formatCode>
                <c:ptCount val="14"/>
                <c:pt idx="0">
                  <c:v>5</c:v>
                </c:pt>
                <c:pt idx="1">
                  <c:v>2</c:v>
                </c:pt>
                <c:pt idx="2">
                  <c:v>15</c:v>
                </c:pt>
                <c:pt idx="3">
                  <c:v>1</c:v>
                </c:pt>
                <c:pt idx="4">
                  <c:v>8</c:v>
                </c:pt>
                <c:pt idx="5">
                  <c:v>7</c:v>
                </c:pt>
                <c:pt idx="6">
                  <c:v>8</c:v>
                </c:pt>
                <c:pt idx="7">
                  <c:v>11</c:v>
                </c:pt>
                <c:pt idx="8">
                  <c:v>10</c:v>
                </c:pt>
                <c:pt idx="9">
                  <c:v>11</c:v>
                </c:pt>
                <c:pt idx="10">
                  <c:v>7</c:v>
                </c:pt>
                <c:pt idx="11">
                  <c:v>9</c:v>
                </c:pt>
                <c:pt idx="12">
                  <c:v>3</c:v>
                </c:pt>
                <c:pt idx="13">
                  <c:v>1</c:v>
                </c:pt>
              </c:numCache>
            </c:numRef>
          </c:val>
        </c:ser>
        <c:ser>
          <c:idx val="1"/>
          <c:order val="1"/>
          <c:tx>
            <c:strRef>
              <c:f>Foglio1!$X$5</c:f>
              <c:strCache>
                <c:ptCount val="1"/>
                <c:pt idx="0">
                  <c:v>Tursiopi</c:v>
                </c:pt>
              </c:strCache>
            </c:strRef>
          </c:tx>
          <c:cat>
            <c:strRef>
              <c:f>Foglio1!$V$6:$V$19</c:f>
              <c:strCache>
                <c:ptCount val="14"/>
                <c:pt idx="0">
                  <c:v>G-1</c:v>
                </c:pt>
                <c:pt idx="1">
                  <c:v>G-2</c:v>
                </c:pt>
                <c:pt idx="2">
                  <c:v>G-3</c:v>
                </c:pt>
                <c:pt idx="3">
                  <c:v>G-4</c:v>
                </c:pt>
                <c:pt idx="4">
                  <c:v>F-1</c:v>
                </c:pt>
                <c:pt idx="5">
                  <c:v>F-2</c:v>
                </c:pt>
                <c:pt idx="6">
                  <c:v>F-3</c:v>
                </c:pt>
                <c:pt idx="7">
                  <c:v>F-4</c:v>
                </c:pt>
                <c:pt idx="8">
                  <c:v>M-1</c:v>
                </c:pt>
                <c:pt idx="9">
                  <c:v>M-2</c:v>
                </c:pt>
                <c:pt idx="10">
                  <c:v>M-3</c:v>
                </c:pt>
                <c:pt idx="11">
                  <c:v>M-4</c:v>
                </c:pt>
                <c:pt idx="12">
                  <c:v>A-1</c:v>
                </c:pt>
                <c:pt idx="13">
                  <c:v>A-2</c:v>
                </c:pt>
              </c:strCache>
            </c:strRef>
          </c:cat>
          <c:val>
            <c:numRef>
              <c:f>Foglio1!$X$6:$X$19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2"/>
          <c:order val="2"/>
          <c:tx>
            <c:strRef>
              <c:f>Foglio1!$Y$5</c:f>
              <c:strCache>
                <c:ptCount val="1"/>
                <c:pt idx="0">
                  <c:v>Undetermined</c:v>
                </c:pt>
              </c:strCache>
            </c:strRef>
          </c:tx>
          <c:cat>
            <c:strRef>
              <c:f>Foglio1!$V$6:$V$19</c:f>
              <c:strCache>
                <c:ptCount val="14"/>
                <c:pt idx="0">
                  <c:v>G-1</c:v>
                </c:pt>
                <c:pt idx="1">
                  <c:v>G-2</c:v>
                </c:pt>
                <c:pt idx="2">
                  <c:v>G-3</c:v>
                </c:pt>
                <c:pt idx="3">
                  <c:v>G-4</c:v>
                </c:pt>
                <c:pt idx="4">
                  <c:v>F-1</c:v>
                </c:pt>
                <c:pt idx="5">
                  <c:v>F-2</c:v>
                </c:pt>
                <c:pt idx="6">
                  <c:v>F-3</c:v>
                </c:pt>
                <c:pt idx="7">
                  <c:v>F-4</c:v>
                </c:pt>
                <c:pt idx="8">
                  <c:v>M-1</c:v>
                </c:pt>
                <c:pt idx="9">
                  <c:v>M-2</c:v>
                </c:pt>
                <c:pt idx="10">
                  <c:v>M-3</c:v>
                </c:pt>
                <c:pt idx="11">
                  <c:v>M-4</c:v>
                </c:pt>
                <c:pt idx="12">
                  <c:v>A-1</c:v>
                </c:pt>
                <c:pt idx="13">
                  <c:v>A-2</c:v>
                </c:pt>
              </c:strCache>
            </c:strRef>
          </c:cat>
          <c:val>
            <c:numRef>
              <c:f>Foglio1!$Y$6:$Y$19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4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3</c:v>
                </c:pt>
              </c:numCache>
            </c:numRef>
          </c:val>
        </c:ser>
        <c:ser>
          <c:idx val="3"/>
          <c:order val="3"/>
          <c:tx>
            <c:strRef>
              <c:f>Foglio1!$Z$5</c:f>
              <c:strCache>
                <c:ptCount val="1"/>
                <c:pt idx="0">
                  <c:v>Altri</c:v>
                </c:pt>
              </c:strCache>
            </c:strRef>
          </c:tx>
          <c:cat>
            <c:strRef>
              <c:f>Foglio1!$V$6:$V$19</c:f>
              <c:strCache>
                <c:ptCount val="14"/>
                <c:pt idx="0">
                  <c:v>G-1</c:v>
                </c:pt>
                <c:pt idx="1">
                  <c:v>G-2</c:v>
                </c:pt>
                <c:pt idx="2">
                  <c:v>G-3</c:v>
                </c:pt>
                <c:pt idx="3">
                  <c:v>G-4</c:v>
                </c:pt>
                <c:pt idx="4">
                  <c:v>F-1</c:v>
                </c:pt>
                <c:pt idx="5">
                  <c:v>F-2</c:v>
                </c:pt>
                <c:pt idx="6">
                  <c:v>F-3</c:v>
                </c:pt>
                <c:pt idx="7">
                  <c:v>F-4</c:v>
                </c:pt>
                <c:pt idx="8">
                  <c:v>M-1</c:v>
                </c:pt>
                <c:pt idx="9">
                  <c:v>M-2</c:v>
                </c:pt>
                <c:pt idx="10">
                  <c:v>M-3</c:v>
                </c:pt>
                <c:pt idx="11">
                  <c:v>M-4</c:v>
                </c:pt>
                <c:pt idx="12">
                  <c:v>A-1</c:v>
                </c:pt>
                <c:pt idx="13">
                  <c:v>A-2</c:v>
                </c:pt>
              </c:strCache>
            </c:strRef>
          </c:cat>
          <c:val>
            <c:numRef>
              <c:f>Foglio1!$Z$6:$Z$19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</c:ser>
        <c:overlap val="100"/>
        <c:axId val="71408256"/>
        <c:axId val="71422336"/>
      </c:barChart>
      <c:catAx>
        <c:axId val="71408256"/>
        <c:scaling>
          <c:orientation val="minMax"/>
        </c:scaling>
        <c:axPos val="b"/>
        <c:tickLblPos val="nextTo"/>
        <c:crossAx val="71422336"/>
        <c:crosses val="autoZero"/>
        <c:auto val="1"/>
        <c:lblAlgn val="ctr"/>
        <c:lblOffset val="100"/>
      </c:catAx>
      <c:valAx>
        <c:axId val="71422336"/>
        <c:scaling>
          <c:orientation val="minMax"/>
        </c:scaling>
        <c:axPos val="l"/>
        <c:majorGridlines/>
        <c:numFmt formatCode="General" sourceLinked="1"/>
        <c:tickLblPos val="nextTo"/>
        <c:crossAx val="71408256"/>
        <c:crosses val="autoZero"/>
        <c:crossBetween val="between"/>
      </c:valAx>
    </c:plotArea>
    <c:legend>
      <c:legendPos val="r"/>
      <c:txPr>
        <a:bodyPr/>
        <a:lstStyle/>
        <a:p>
          <a:pPr>
            <a:defRPr sz="1400"/>
          </a:pPr>
          <a:endParaRPr lang="it-IT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MATT5676</dc:creator>
  <cp:lastModifiedBy>MATT5676</cp:lastModifiedBy>
  <cp:revision>4</cp:revision>
  <dcterms:created xsi:type="dcterms:W3CDTF">2013-04-17T10:34:00Z</dcterms:created>
  <dcterms:modified xsi:type="dcterms:W3CDTF">2013-04-17T15:53:00Z</dcterms:modified>
</cp:coreProperties>
</file>