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393" w:type="pct"/>
        <w:jc w:val="center"/>
        <w:tblCellMar>
          <w:left w:w="70" w:type="dxa"/>
          <w:right w:w="70" w:type="dxa"/>
        </w:tblCellMar>
        <w:tblLook w:val="04A0" w:firstRow="1" w:lastRow="0" w:firstColumn="1" w:lastColumn="0" w:noHBand="0" w:noVBand="1"/>
      </w:tblPr>
      <w:tblGrid>
        <w:gridCol w:w="195"/>
        <w:gridCol w:w="2284"/>
        <w:gridCol w:w="422"/>
        <w:gridCol w:w="1074"/>
        <w:gridCol w:w="1577"/>
        <w:gridCol w:w="217"/>
        <w:gridCol w:w="1230"/>
        <w:gridCol w:w="1079"/>
        <w:gridCol w:w="195"/>
        <w:gridCol w:w="195"/>
      </w:tblGrid>
      <w:tr w:rsidR="00F764D9" w:rsidRPr="00B50AD7" w14:paraId="20DB3AED" w14:textId="77777777" w:rsidTr="00D97715">
        <w:trPr>
          <w:trHeight w:val="330"/>
          <w:jc w:val="center"/>
        </w:trPr>
        <w:tc>
          <w:tcPr>
            <w:tcW w:w="115" w:type="pct"/>
            <w:tcBorders>
              <w:top w:val="nil"/>
              <w:left w:val="nil"/>
              <w:bottom w:val="nil"/>
              <w:right w:val="nil"/>
            </w:tcBorders>
            <w:shd w:val="clear" w:color="000000" w:fill="FFFFFF"/>
            <w:vAlign w:val="bottom"/>
            <w:hideMark/>
          </w:tcPr>
          <w:p w14:paraId="1B13DED9"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5" w:type="pct"/>
            <w:gridSpan w:val="7"/>
            <w:vMerge w:val="restart"/>
            <w:tcBorders>
              <w:top w:val="nil"/>
              <w:left w:val="nil"/>
              <w:bottom w:val="nil"/>
              <w:right w:val="nil"/>
            </w:tcBorders>
            <w:shd w:val="clear" w:color="auto" w:fill="00B050"/>
            <w:vAlign w:val="center"/>
            <w:hideMark/>
          </w:tcPr>
          <w:p w14:paraId="6458D850" w14:textId="1E4487B3" w:rsidR="00F764D9" w:rsidRPr="00B50AD7" w:rsidRDefault="00F764D9"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PER LA VERIFICA </w:t>
            </w:r>
            <w:r w:rsidR="005C73D4" w:rsidRPr="00C3131D">
              <w:rPr>
                <w:rFonts w:ascii="Garamond" w:eastAsia="Times New Roman" w:hAnsi="Garamond" w:cstheme="minorHAnsi"/>
                <w:b/>
                <w:bCs/>
                <w:i/>
                <w:iCs/>
                <w:color w:val="FFFFFF"/>
                <w:lang w:eastAsia="it-IT"/>
              </w:rPr>
              <w:t>DESK</w:t>
            </w:r>
            <w:r w:rsidR="005C73D4">
              <w:rPr>
                <w:rFonts w:ascii="Garamond" w:eastAsia="Times New Roman" w:hAnsi="Garamond" w:cstheme="minorHAnsi"/>
                <w:b/>
                <w:bCs/>
                <w:color w:val="FFFFFF"/>
                <w:lang w:eastAsia="it-IT"/>
              </w:rPr>
              <w:t xml:space="preserve"> AMMINISTRATIVO</w:t>
            </w:r>
            <w:r w:rsidR="00C3131D">
              <w:rPr>
                <w:rFonts w:ascii="Garamond" w:eastAsia="Times New Roman" w:hAnsi="Garamond" w:cstheme="minorHAnsi"/>
                <w:b/>
                <w:bCs/>
                <w:color w:val="FFFFFF"/>
                <w:lang w:eastAsia="it-IT"/>
              </w:rPr>
              <w:t xml:space="preserve">-CONTABILE </w:t>
            </w:r>
            <w:r w:rsidR="008C767A">
              <w:rPr>
                <w:rFonts w:ascii="Garamond" w:eastAsia="Times New Roman" w:hAnsi="Garamond" w:cstheme="minorHAnsi"/>
                <w:b/>
                <w:bCs/>
                <w:color w:val="FFFFFF"/>
                <w:lang w:eastAsia="it-IT"/>
              </w:rPr>
              <w:t>DELL</w:t>
            </w:r>
            <w:r w:rsidR="002D62D4">
              <w:rPr>
                <w:rFonts w:ascii="Garamond" w:eastAsia="Times New Roman" w:hAnsi="Garamond" w:cstheme="minorHAnsi"/>
                <w:b/>
                <w:bCs/>
                <w:color w:val="FFFFFF"/>
                <w:lang w:eastAsia="it-IT"/>
              </w:rPr>
              <w:t>E SPESE RENDICONTATE PER MEZZO DELLE OPZIONI DI SEMPLIFICAZIONE DEI COSTI (</w:t>
            </w:r>
            <w:r w:rsidR="00C3131D">
              <w:rPr>
                <w:rFonts w:ascii="Garamond" w:eastAsia="Times New Roman" w:hAnsi="Garamond" w:cstheme="minorHAnsi"/>
                <w:b/>
                <w:bCs/>
                <w:color w:val="FFFFFF"/>
                <w:lang w:eastAsia="it-IT"/>
              </w:rPr>
              <w:t>OSC)</w:t>
            </w:r>
            <w:r w:rsidR="008C767A">
              <w:rPr>
                <w:rFonts w:ascii="Garamond" w:eastAsia="Times New Roman" w:hAnsi="Garamond" w:cstheme="minorHAnsi"/>
                <w:b/>
                <w:bCs/>
                <w:color w:val="FFFFFF"/>
                <w:lang w:eastAsia="it-IT"/>
              </w:rPr>
              <w:t xml:space="preserve"> </w:t>
            </w:r>
          </w:p>
        </w:tc>
        <w:tc>
          <w:tcPr>
            <w:tcW w:w="115" w:type="pct"/>
            <w:tcBorders>
              <w:top w:val="nil"/>
              <w:left w:val="nil"/>
              <w:bottom w:val="nil"/>
              <w:right w:val="nil"/>
            </w:tcBorders>
            <w:shd w:val="clear" w:color="000000" w:fill="FFFFFF"/>
            <w:vAlign w:val="bottom"/>
            <w:hideMark/>
          </w:tcPr>
          <w:p w14:paraId="3F6F58B8"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vAlign w:val="bottom"/>
            <w:hideMark/>
          </w:tcPr>
          <w:p w14:paraId="2DAB54A6"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42F06C48" w14:textId="77777777" w:rsidTr="00D97715">
        <w:trPr>
          <w:trHeight w:val="300"/>
          <w:jc w:val="center"/>
        </w:trPr>
        <w:tc>
          <w:tcPr>
            <w:tcW w:w="115" w:type="pct"/>
            <w:tcBorders>
              <w:top w:val="nil"/>
              <w:left w:val="nil"/>
              <w:bottom w:val="nil"/>
              <w:right w:val="nil"/>
            </w:tcBorders>
            <w:shd w:val="clear" w:color="000000" w:fill="FFFFFF"/>
            <w:noWrap/>
            <w:vAlign w:val="bottom"/>
            <w:hideMark/>
          </w:tcPr>
          <w:p w14:paraId="157048AD"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5" w:type="pct"/>
            <w:gridSpan w:val="7"/>
            <w:vMerge/>
            <w:tcBorders>
              <w:top w:val="nil"/>
              <w:left w:val="nil"/>
              <w:bottom w:val="nil"/>
              <w:right w:val="nil"/>
            </w:tcBorders>
            <w:shd w:val="clear" w:color="auto" w:fill="00B050"/>
            <w:vAlign w:val="center"/>
            <w:hideMark/>
          </w:tcPr>
          <w:p w14:paraId="0FA0DFA1" w14:textId="77777777" w:rsidR="00F764D9" w:rsidRPr="00B50AD7" w:rsidRDefault="00F764D9" w:rsidP="004F0E45">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000000" w:fill="FFFFFF"/>
            <w:noWrap/>
            <w:vAlign w:val="bottom"/>
            <w:hideMark/>
          </w:tcPr>
          <w:p w14:paraId="29AFE19B"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5B6EC109"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35E4F3C0" w14:textId="77777777" w:rsidTr="00D97715">
        <w:trPr>
          <w:trHeight w:val="270"/>
          <w:jc w:val="center"/>
        </w:trPr>
        <w:tc>
          <w:tcPr>
            <w:tcW w:w="115" w:type="pct"/>
            <w:tcBorders>
              <w:top w:val="nil"/>
              <w:left w:val="nil"/>
              <w:bottom w:val="nil"/>
              <w:right w:val="nil"/>
            </w:tcBorders>
            <w:shd w:val="clear" w:color="000000" w:fill="FFFFFF"/>
            <w:noWrap/>
            <w:vAlign w:val="center"/>
            <w:hideMark/>
          </w:tcPr>
          <w:p w14:paraId="1C76E338" w14:textId="77777777" w:rsidR="00F764D9" w:rsidRPr="00B50AD7" w:rsidRDefault="00F764D9" w:rsidP="004F0E45">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55" w:type="pct"/>
            <w:gridSpan w:val="7"/>
            <w:vMerge/>
            <w:tcBorders>
              <w:top w:val="nil"/>
              <w:left w:val="nil"/>
              <w:bottom w:val="nil"/>
              <w:right w:val="nil"/>
            </w:tcBorders>
            <w:shd w:val="clear" w:color="auto" w:fill="00B050"/>
            <w:vAlign w:val="center"/>
            <w:hideMark/>
          </w:tcPr>
          <w:p w14:paraId="17F7A5C0" w14:textId="77777777" w:rsidR="00F764D9" w:rsidRPr="00B50AD7" w:rsidRDefault="00F764D9" w:rsidP="004F0E45">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000000" w:fill="FFFFFF"/>
            <w:noWrap/>
            <w:vAlign w:val="bottom"/>
            <w:hideMark/>
          </w:tcPr>
          <w:p w14:paraId="129E7864"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647D4C4C"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154974A2" w14:textId="77777777" w:rsidTr="00D97715">
        <w:trPr>
          <w:trHeight w:val="288"/>
          <w:jc w:val="center"/>
        </w:trPr>
        <w:tc>
          <w:tcPr>
            <w:tcW w:w="115" w:type="pct"/>
            <w:tcBorders>
              <w:top w:val="nil"/>
              <w:left w:val="nil"/>
              <w:bottom w:val="nil"/>
              <w:right w:val="nil"/>
            </w:tcBorders>
            <w:shd w:val="clear" w:color="000000" w:fill="FFFFFF"/>
            <w:noWrap/>
            <w:vAlign w:val="bottom"/>
            <w:hideMark/>
          </w:tcPr>
          <w:p w14:paraId="2B67D50F"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5" w:type="pct"/>
            <w:gridSpan w:val="7"/>
            <w:vMerge/>
            <w:tcBorders>
              <w:top w:val="nil"/>
              <w:left w:val="nil"/>
              <w:bottom w:val="nil"/>
              <w:right w:val="nil"/>
            </w:tcBorders>
            <w:shd w:val="clear" w:color="auto" w:fill="00B050"/>
            <w:vAlign w:val="center"/>
            <w:hideMark/>
          </w:tcPr>
          <w:p w14:paraId="49655ECA" w14:textId="77777777" w:rsidR="00F764D9" w:rsidRPr="00B50AD7" w:rsidRDefault="00F764D9" w:rsidP="004F0E45">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000000" w:fill="FFFFFF"/>
            <w:noWrap/>
            <w:vAlign w:val="bottom"/>
            <w:hideMark/>
          </w:tcPr>
          <w:p w14:paraId="50F24A04"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7A0E6519"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493B6466" w14:textId="77777777" w:rsidTr="00D97715">
        <w:trPr>
          <w:trHeight w:val="288"/>
          <w:jc w:val="center"/>
        </w:trPr>
        <w:tc>
          <w:tcPr>
            <w:tcW w:w="115" w:type="pct"/>
            <w:tcBorders>
              <w:top w:val="nil"/>
              <w:left w:val="nil"/>
              <w:bottom w:val="nil"/>
              <w:right w:val="nil"/>
            </w:tcBorders>
            <w:shd w:val="clear" w:color="000000" w:fill="FFFFFF"/>
            <w:noWrap/>
            <w:vAlign w:val="bottom"/>
            <w:hideMark/>
          </w:tcPr>
          <w:p w14:paraId="3E0C2AC4"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5" w:type="pct"/>
            <w:gridSpan w:val="7"/>
            <w:vMerge/>
            <w:tcBorders>
              <w:top w:val="nil"/>
              <w:left w:val="nil"/>
              <w:bottom w:val="nil"/>
              <w:right w:val="nil"/>
            </w:tcBorders>
            <w:shd w:val="clear" w:color="auto" w:fill="00B050"/>
            <w:vAlign w:val="center"/>
            <w:hideMark/>
          </w:tcPr>
          <w:p w14:paraId="73D178B7" w14:textId="77777777" w:rsidR="00F764D9" w:rsidRPr="00B50AD7" w:rsidRDefault="00F764D9" w:rsidP="004F0E45">
            <w:pPr>
              <w:spacing w:after="0" w:line="240" w:lineRule="auto"/>
              <w:rPr>
                <w:rFonts w:ascii="Garamond" w:eastAsia="Times New Roman" w:hAnsi="Garamond" w:cstheme="minorHAnsi"/>
                <w:color w:val="FFFFFF"/>
                <w:lang w:eastAsia="it-IT"/>
              </w:rPr>
            </w:pPr>
          </w:p>
        </w:tc>
        <w:tc>
          <w:tcPr>
            <w:tcW w:w="115" w:type="pct"/>
            <w:tcBorders>
              <w:top w:val="nil"/>
              <w:left w:val="nil"/>
              <w:bottom w:val="nil"/>
              <w:right w:val="nil"/>
            </w:tcBorders>
            <w:shd w:val="clear" w:color="000000" w:fill="FFFFFF"/>
            <w:noWrap/>
            <w:vAlign w:val="bottom"/>
            <w:hideMark/>
          </w:tcPr>
          <w:p w14:paraId="46110AAD"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16D374FA"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27AC0" w:rsidRPr="00B50AD7" w14:paraId="46017A01" w14:textId="77777777" w:rsidTr="00FC0ABA">
        <w:trPr>
          <w:trHeight w:val="288"/>
          <w:jc w:val="center"/>
        </w:trPr>
        <w:tc>
          <w:tcPr>
            <w:tcW w:w="115" w:type="pct"/>
            <w:tcBorders>
              <w:top w:val="nil"/>
              <w:left w:val="nil"/>
              <w:bottom w:val="nil"/>
              <w:right w:val="nil"/>
            </w:tcBorders>
            <w:shd w:val="clear" w:color="000000" w:fill="FFFFFF"/>
            <w:noWrap/>
            <w:vAlign w:val="bottom"/>
            <w:hideMark/>
          </w:tcPr>
          <w:p w14:paraId="06878522"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599" w:type="pct"/>
            <w:gridSpan w:val="2"/>
            <w:tcBorders>
              <w:top w:val="nil"/>
              <w:left w:val="nil"/>
              <w:bottom w:val="nil"/>
              <w:right w:val="nil"/>
            </w:tcBorders>
            <w:shd w:val="clear" w:color="000000" w:fill="FFFFFF"/>
            <w:noWrap/>
            <w:vAlign w:val="bottom"/>
            <w:hideMark/>
          </w:tcPr>
          <w:p w14:paraId="180B284B"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634" w:type="pct"/>
            <w:tcBorders>
              <w:top w:val="nil"/>
              <w:left w:val="nil"/>
              <w:bottom w:val="nil"/>
              <w:right w:val="nil"/>
            </w:tcBorders>
            <w:shd w:val="clear" w:color="000000" w:fill="FFFFFF"/>
            <w:noWrap/>
            <w:vAlign w:val="bottom"/>
            <w:hideMark/>
          </w:tcPr>
          <w:p w14:paraId="7F158EE6"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1" w:type="pct"/>
            <w:tcBorders>
              <w:top w:val="nil"/>
              <w:left w:val="nil"/>
              <w:bottom w:val="nil"/>
              <w:right w:val="nil"/>
            </w:tcBorders>
            <w:shd w:val="clear" w:color="000000" w:fill="FFFFFF"/>
            <w:noWrap/>
            <w:vAlign w:val="bottom"/>
            <w:hideMark/>
          </w:tcPr>
          <w:p w14:paraId="7917FC98"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8" w:type="pct"/>
            <w:tcBorders>
              <w:top w:val="nil"/>
              <w:left w:val="nil"/>
              <w:bottom w:val="nil"/>
              <w:right w:val="nil"/>
            </w:tcBorders>
            <w:shd w:val="clear" w:color="000000" w:fill="FFFFFF"/>
            <w:noWrap/>
            <w:vAlign w:val="bottom"/>
            <w:hideMark/>
          </w:tcPr>
          <w:p w14:paraId="28425AEA"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26" w:type="pct"/>
            <w:tcBorders>
              <w:top w:val="nil"/>
              <w:left w:val="nil"/>
              <w:bottom w:val="nil"/>
              <w:right w:val="nil"/>
            </w:tcBorders>
            <w:shd w:val="clear" w:color="000000" w:fill="FFFFFF"/>
            <w:noWrap/>
            <w:vAlign w:val="bottom"/>
            <w:hideMark/>
          </w:tcPr>
          <w:p w14:paraId="14A69B0D"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636" w:type="pct"/>
            <w:tcBorders>
              <w:top w:val="nil"/>
              <w:left w:val="nil"/>
              <w:bottom w:val="nil"/>
              <w:right w:val="nil"/>
            </w:tcBorders>
            <w:shd w:val="clear" w:color="000000" w:fill="FFFFFF"/>
            <w:noWrap/>
            <w:vAlign w:val="bottom"/>
            <w:hideMark/>
          </w:tcPr>
          <w:p w14:paraId="5697059B"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7ABEFAE0"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0BAB4EFA"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252C01DA" w14:textId="77777777" w:rsidTr="00D97715">
        <w:trPr>
          <w:trHeight w:val="564"/>
          <w:jc w:val="center"/>
        </w:trPr>
        <w:tc>
          <w:tcPr>
            <w:tcW w:w="115" w:type="pct"/>
            <w:tcBorders>
              <w:top w:val="nil"/>
              <w:left w:val="nil"/>
              <w:bottom w:val="nil"/>
              <w:right w:val="single" w:sz="2" w:space="0" w:color="auto"/>
            </w:tcBorders>
            <w:shd w:val="clear" w:color="000000" w:fill="FFFFFF"/>
            <w:noWrap/>
            <w:vAlign w:val="bottom"/>
            <w:hideMark/>
          </w:tcPr>
          <w:p w14:paraId="0511973A"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0EE342B2" w14:textId="7DF8246E" w:rsidR="00F764D9" w:rsidRPr="00B50AD7" w:rsidRDefault="00F764D9"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Anagrafica Amministrazione</w:t>
            </w:r>
            <w:r w:rsidR="001B6FE3">
              <w:rPr>
                <w:rFonts w:ascii="Garamond" w:eastAsia="Times New Roman" w:hAnsi="Garamond" w:cstheme="minorHAnsi"/>
                <w:b/>
                <w:bCs/>
                <w:color w:val="FFFFFF"/>
                <w:lang w:eastAsia="it-IT"/>
              </w:rPr>
              <w:t xml:space="preserve"> </w:t>
            </w:r>
            <w:r w:rsidR="001B6FE3" w:rsidRPr="001B6FE3">
              <w:rPr>
                <w:rFonts w:ascii="Garamond" w:eastAsia="Times New Roman" w:hAnsi="Garamond" w:cstheme="minorHAnsi"/>
                <w:b/>
                <w:bCs/>
                <w:color w:val="FFFFFF"/>
                <w:lang w:eastAsia="it-IT"/>
              </w:rPr>
              <w:t>centrale titolare di interventi</w:t>
            </w:r>
          </w:p>
        </w:tc>
        <w:tc>
          <w:tcPr>
            <w:tcW w:w="115" w:type="pct"/>
            <w:tcBorders>
              <w:top w:val="nil"/>
              <w:left w:val="single" w:sz="2" w:space="0" w:color="auto"/>
              <w:bottom w:val="nil"/>
              <w:right w:val="nil"/>
            </w:tcBorders>
            <w:shd w:val="clear" w:color="000000" w:fill="FFFFFF"/>
            <w:noWrap/>
            <w:vAlign w:val="bottom"/>
            <w:hideMark/>
          </w:tcPr>
          <w:p w14:paraId="3F826A1A"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092D2D35"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432FA5" w:rsidRPr="00B50AD7" w14:paraId="52E30800" w14:textId="77777777" w:rsidTr="00D97715">
        <w:trPr>
          <w:trHeight w:val="555"/>
          <w:jc w:val="center"/>
        </w:trPr>
        <w:tc>
          <w:tcPr>
            <w:tcW w:w="115" w:type="pct"/>
            <w:tcBorders>
              <w:top w:val="nil"/>
              <w:left w:val="nil"/>
              <w:bottom w:val="nil"/>
              <w:right w:val="nil"/>
            </w:tcBorders>
            <w:shd w:val="clear" w:color="000000" w:fill="FFFFFF"/>
            <w:noWrap/>
            <w:vAlign w:val="bottom"/>
            <w:hideMark/>
          </w:tcPr>
          <w:p w14:paraId="244FD97F" w14:textId="77777777" w:rsidR="00432FA5" w:rsidRPr="00B50AD7" w:rsidRDefault="00432FA5" w:rsidP="00432FA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9" w:type="pct"/>
            <w:tcBorders>
              <w:top w:val="single" w:sz="4" w:space="0" w:color="auto"/>
              <w:left w:val="single" w:sz="4" w:space="0" w:color="auto"/>
              <w:bottom w:val="single" w:sz="4" w:space="0" w:color="auto"/>
              <w:right w:val="single" w:sz="2" w:space="0" w:color="auto"/>
            </w:tcBorders>
            <w:shd w:val="clear" w:color="auto" w:fill="00B050"/>
            <w:vAlign w:val="center"/>
            <w:hideMark/>
          </w:tcPr>
          <w:p w14:paraId="265793B0" w14:textId="036E8171" w:rsidR="00432FA5" w:rsidRPr="00B50AD7" w:rsidRDefault="00432FA5" w:rsidP="00432FA5">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8C98369" w14:textId="77777777" w:rsidR="00432FA5" w:rsidRPr="00B50AD7" w:rsidRDefault="00432FA5" w:rsidP="00432FA5">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noWrap/>
            <w:vAlign w:val="bottom"/>
            <w:hideMark/>
          </w:tcPr>
          <w:p w14:paraId="35C2F6A9" w14:textId="77777777" w:rsidR="00432FA5" w:rsidRPr="00B50AD7" w:rsidRDefault="00432FA5" w:rsidP="00432FA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137D8EFC" w14:textId="77777777" w:rsidR="00432FA5" w:rsidRPr="00B50AD7" w:rsidRDefault="00432FA5" w:rsidP="00432FA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432FA5" w:rsidRPr="00B50AD7" w14:paraId="1443E37C" w14:textId="77777777" w:rsidTr="00D97715">
        <w:trPr>
          <w:trHeight w:val="555"/>
          <w:jc w:val="center"/>
        </w:trPr>
        <w:tc>
          <w:tcPr>
            <w:tcW w:w="115" w:type="pct"/>
            <w:tcBorders>
              <w:top w:val="nil"/>
              <w:left w:val="nil"/>
              <w:bottom w:val="nil"/>
              <w:right w:val="nil"/>
            </w:tcBorders>
            <w:shd w:val="clear" w:color="000000" w:fill="FFFFFF"/>
            <w:noWrap/>
            <w:vAlign w:val="bottom"/>
            <w:hideMark/>
          </w:tcPr>
          <w:p w14:paraId="6AB6D984" w14:textId="77777777" w:rsidR="00432FA5" w:rsidRPr="00B50AD7" w:rsidRDefault="00432FA5" w:rsidP="00432FA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9" w:type="pct"/>
            <w:tcBorders>
              <w:top w:val="single" w:sz="4" w:space="0" w:color="auto"/>
              <w:left w:val="single" w:sz="4" w:space="0" w:color="auto"/>
              <w:bottom w:val="single" w:sz="4" w:space="0" w:color="auto"/>
              <w:right w:val="single" w:sz="2" w:space="0" w:color="auto"/>
            </w:tcBorders>
            <w:shd w:val="clear" w:color="auto" w:fill="00B050"/>
            <w:vAlign w:val="center"/>
          </w:tcPr>
          <w:p w14:paraId="03C37DEA" w14:textId="4168866C" w:rsidR="00432FA5" w:rsidRPr="00B50AD7" w:rsidRDefault="00432FA5" w:rsidP="00432FA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 xml:space="preserve">Referente </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DC22F21" w14:textId="77777777" w:rsidR="00432FA5" w:rsidRPr="00B50AD7" w:rsidRDefault="00432FA5" w:rsidP="00432FA5">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noWrap/>
            <w:vAlign w:val="bottom"/>
            <w:hideMark/>
          </w:tcPr>
          <w:p w14:paraId="1D96FCE0" w14:textId="77777777" w:rsidR="00432FA5" w:rsidRPr="00B50AD7" w:rsidRDefault="00432FA5" w:rsidP="00432FA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446FE8D4" w14:textId="77777777" w:rsidR="00432FA5" w:rsidRPr="00B50AD7" w:rsidRDefault="00432FA5" w:rsidP="00432FA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27AC0" w:rsidRPr="00B50AD7" w14:paraId="2E4272AA" w14:textId="77777777" w:rsidTr="00FC0ABA">
        <w:trPr>
          <w:trHeight w:val="218"/>
          <w:jc w:val="center"/>
        </w:trPr>
        <w:tc>
          <w:tcPr>
            <w:tcW w:w="115" w:type="pct"/>
            <w:tcBorders>
              <w:top w:val="nil"/>
              <w:left w:val="nil"/>
              <w:bottom w:val="nil"/>
              <w:right w:val="nil"/>
            </w:tcBorders>
            <w:shd w:val="clear" w:color="000000" w:fill="FFFFFF"/>
            <w:noWrap/>
            <w:vAlign w:val="bottom"/>
            <w:hideMark/>
          </w:tcPr>
          <w:p w14:paraId="0B7AD70E"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599" w:type="pct"/>
            <w:gridSpan w:val="2"/>
            <w:tcBorders>
              <w:top w:val="nil"/>
              <w:left w:val="nil"/>
              <w:bottom w:val="single" w:sz="2" w:space="0" w:color="auto"/>
              <w:right w:val="nil"/>
            </w:tcBorders>
            <w:shd w:val="clear" w:color="auto" w:fill="auto"/>
            <w:vAlign w:val="center"/>
            <w:hideMark/>
          </w:tcPr>
          <w:p w14:paraId="0298E0BF" w14:textId="77777777" w:rsidR="00F764D9" w:rsidRPr="00FF2123" w:rsidRDefault="00F764D9" w:rsidP="004F0E45">
            <w:pPr>
              <w:spacing w:after="0" w:line="240" w:lineRule="auto"/>
              <w:rPr>
                <w:rFonts w:ascii="Garamond" w:eastAsia="Times New Roman" w:hAnsi="Garamond" w:cstheme="minorHAnsi"/>
                <w:color w:val="000000"/>
                <w:sz w:val="16"/>
                <w:szCs w:val="16"/>
                <w:lang w:eastAsia="it-IT"/>
              </w:rPr>
            </w:pPr>
          </w:p>
        </w:tc>
        <w:tc>
          <w:tcPr>
            <w:tcW w:w="634" w:type="pct"/>
            <w:tcBorders>
              <w:top w:val="nil"/>
              <w:left w:val="nil"/>
              <w:bottom w:val="single" w:sz="2" w:space="0" w:color="auto"/>
              <w:right w:val="nil"/>
            </w:tcBorders>
            <w:shd w:val="clear" w:color="auto" w:fill="auto"/>
            <w:vAlign w:val="center"/>
            <w:hideMark/>
          </w:tcPr>
          <w:p w14:paraId="3DF2BCC1" w14:textId="77777777" w:rsidR="00F764D9" w:rsidRPr="00B50AD7" w:rsidRDefault="00F764D9" w:rsidP="004F0E45">
            <w:pPr>
              <w:spacing w:after="0" w:line="240" w:lineRule="auto"/>
              <w:jc w:val="right"/>
              <w:rPr>
                <w:rFonts w:ascii="Garamond" w:eastAsia="Times New Roman" w:hAnsi="Garamond" w:cstheme="minorHAnsi"/>
                <w:lang w:eastAsia="it-IT"/>
              </w:rPr>
            </w:pPr>
          </w:p>
        </w:tc>
        <w:tc>
          <w:tcPr>
            <w:tcW w:w="931" w:type="pct"/>
            <w:tcBorders>
              <w:top w:val="nil"/>
              <w:left w:val="nil"/>
              <w:bottom w:val="single" w:sz="2" w:space="0" w:color="auto"/>
              <w:right w:val="nil"/>
            </w:tcBorders>
            <w:shd w:val="clear" w:color="auto" w:fill="auto"/>
            <w:vAlign w:val="center"/>
            <w:hideMark/>
          </w:tcPr>
          <w:p w14:paraId="244008E4" w14:textId="77777777" w:rsidR="00F764D9" w:rsidRPr="00B50AD7" w:rsidRDefault="00F764D9" w:rsidP="004F0E45">
            <w:pPr>
              <w:spacing w:after="0" w:line="240" w:lineRule="auto"/>
              <w:jc w:val="right"/>
              <w:rPr>
                <w:rFonts w:ascii="Garamond" w:eastAsia="Times New Roman" w:hAnsi="Garamond" w:cstheme="minorHAnsi"/>
                <w:lang w:eastAsia="it-IT"/>
              </w:rPr>
            </w:pPr>
          </w:p>
        </w:tc>
        <w:tc>
          <w:tcPr>
            <w:tcW w:w="128" w:type="pct"/>
            <w:tcBorders>
              <w:top w:val="nil"/>
              <w:left w:val="nil"/>
              <w:bottom w:val="single" w:sz="2" w:space="0" w:color="auto"/>
              <w:right w:val="nil"/>
            </w:tcBorders>
            <w:shd w:val="clear" w:color="auto" w:fill="auto"/>
            <w:vAlign w:val="center"/>
            <w:hideMark/>
          </w:tcPr>
          <w:p w14:paraId="47A1D5F7" w14:textId="77777777" w:rsidR="00F764D9" w:rsidRPr="00B50AD7" w:rsidRDefault="00F764D9" w:rsidP="004F0E45">
            <w:pPr>
              <w:spacing w:after="0" w:line="240" w:lineRule="auto"/>
              <w:jc w:val="right"/>
              <w:rPr>
                <w:rFonts w:ascii="Garamond" w:eastAsia="Times New Roman" w:hAnsi="Garamond" w:cstheme="minorHAnsi"/>
                <w:lang w:eastAsia="it-IT"/>
              </w:rPr>
            </w:pPr>
          </w:p>
        </w:tc>
        <w:tc>
          <w:tcPr>
            <w:tcW w:w="726" w:type="pct"/>
            <w:tcBorders>
              <w:top w:val="nil"/>
              <w:left w:val="nil"/>
              <w:bottom w:val="single" w:sz="2" w:space="0" w:color="auto"/>
              <w:right w:val="nil"/>
            </w:tcBorders>
            <w:shd w:val="clear" w:color="auto" w:fill="auto"/>
            <w:noWrap/>
            <w:vAlign w:val="center"/>
            <w:hideMark/>
          </w:tcPr>
          <w:p w14:paraId="269A34FB" w14:textId="77777777" w:rsidR="00F764D9" w:rsidRPr="00B50AD7" w:rsidRDefault="00F764D9" w:rsidP="004F0E45">
            <w:pPr>
              <w:spacing w:after="0" w:line="240" w:lineRule="auto"/>
              <w:jc w:val="right"/>
              <w:rPr>
                <w:rFonts w:ascii="Garamond" w:eastAsia="Times New Roman" w:hAnsi="Garamond" w:cstheme="minorHAnsi"/>
                <w:lang w:eastAsia="it-IT"/>
              </w:rPr>
            </w:pPr>
          </w:p>
        </w:tc>
        <w:tc>
          <w:tcPr>
            <w:tcW w:w="636" w:type="pct"/>
            <w:tcBorders>
              <w:top w:val="nil"/>
              <w:left w:val="nil"/>
              <w:bottom w:val="single" w:sz="2" w:space="0" w:color="auto"/>
              <w:right w:val="nil"/>
            </w:tcBorders>
            <w:shd w:val="clear" w:color="auto" w:fill="auto"/>
            <w:noWrap/>
            <w:vAlign w:val="center"/>
            <w:hideMark/>
          </w:tcPr>
          <w:p w14:paraId="04EF4945" w14:textId="77777777" w:rsidR="00F764D9" w:rsidRPr="00B50AD7" w:rsidRDefault="00F764D9" w:rsidP="004F0E45">
            <w:pPr>
              <w:spacing w:after="0" w:line="240" w:lineRule="auto"/>
              <w:jc w:val="center"/>
              <w:rPr>
                <w:rFonts w:ascii="Garamond" w:eastAsia="Times New Roman" w:hAnsi="Garamond" w:cstheme="minorHAnsi"/>
                <w:lang w:eastAsia="it-IT"/>
              </w:rPr>
            </w:pPr>
          </w:p>
        </w:tc>
        <w:tc>
          <w:tcPr>
            <w:tcW w:w="115" w:type="pct"/>
            <w:tcBorders>
              <w:top w:val="nil"/>
              <w:left w:val="nil"/>
              <w:bottom w:val="nil"/>
              <w:right w:val="nil"/>
            </w:tcBorders>
            <w:shd w:val="clear" w:color="000000" w:fill="FFFFFF"/>
            <w:noWrap/>
            <w:vAlign w:val="bottom"/>
            <w:hideMark/>
          </w:tcPr>
          <w:p w14:paraId="6ADA8580"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5C406A7F"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764D9" w:rsidRPr="00B50AD7" w14:paraId="4E75551D" w14:textId="77777777" w:rsidTr="00D97715">
        <w:trPr>
          <w:trHeight w:val="564"/>
          <w:jc w:val="center"/>
        </w:trPr>
        <w:tc>
          <w:tcPr>
            <w:tcW w:w="115" w:type="pct"/>
            <w:tcBorders>
              <w:top w:val="nil"/>
              <w:left w:val="nil"/>
              <w:bottom w:val="nil"/>
              <w:right w:val="single" w:sz="2" w:space="0" w:color="auto"/>
            </w:tcBorders>
            <w:shd w:val="clear" w:color="000000" w:fill="FFFFFF"/>
            <w:noWrap/>
            <w:vAlign w:val="bottom"/>
            <w:hideMark/>
          </w:tcPr>
          <w:p w14:paraId="4635A625"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auto" w:fill="00B050"/>
            <w:vAlign w:val="center"/>
            <w:hideMark/>
          </w:tcPr>
          <w:p w14:paraId="1333B0BC" w14:textId="41F6E604" w:rsidR="00F764D9" w:rsidRPr="00B50AD7" w:rsidRDefault="00F764D9"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EC1FA3">
              <w:rPr>
                <w:rFonts w:ascii="Garamond" w:eastAsia="Times New Roman" w:hAnsi="Garamond" w:cstheme="minorHAnsi"/>
                <w:b/>
                <w:bCs/>
                <w:color w:val="FFFFFF"/>
                <w:lang w:eastAsia="it-IT"/>
              </w:rPr>
              <w:t>I</w:t>
            </w:r>
            <w:r w:rsidRPr="00B50AD7">
              <w:rPr>
                <w:rFonts w:ascii="Garamond" w:eastAsia="Times New Roman" w:hAnsi="Garamond" w:cstheme="minorHAnsi"/>
                <w:b/>
                <w:bCs/>
                <w:color w:val="FFFFFF"/>
                <w:lang w:eastAsia="it-IT"/>
              </w:rPr>
              <w:t>ntervento</w:t>
            </w:r>
          </w:p>
        </w:tc>
        <w:tc>
          <w:tcPr>
            <w:tcW w:w="115" w:type="pct"/>
            <w:tcBorders>
              <w:top w:val="nil"/>
              <w:left w:val="single" w:sz="2" w:space="0" w:color="auto"/>
              <w:bottom w:val="nil"/>
              <w:right w:val="nil"/>
            </w:tcBorders>
            <w:shd w:val="clear" w:color="000000" w:fill="FFFFFF"/>
            <w:noWrap/>
            <w:vAlign w:val="bottom"/>
            <w:hideMark/>
          </w:tcPr>
          <w:p w14:paraId="410FE73A"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1A266820"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931239" w:rsidRPr="00B50AD7" w14:paraId="2FB676AB" w14:textId="77777777" w:rsidTr="00D97715">
        <w:trPr>
          <w:trHeight w:val="567"/>
          <w:jc w:val="center"/>
        </w:trPr>
        <w:tc>
          <w:tcPr>
            <w:tcW w:w="115" w:type="pct"/>
            <w:tcBorders>
              <w:top w:val="nil"/>
              <w:left w:val="nil"/>
              <w:bottom w:val="nil"/>
              <w:right w:val="single" w:sz="2" w:space="0" w:color="auto"/>
            </w:tcBorders>
            <w:shd w:val="clear" w:color="000000" w:fill="FFFFFF"/>
            <w:vAlign w:val="bottom"/>
          </w:tcPr>
          <w:p w14:paraId="064F09F0" w14:textId="77777777" w:rsidR="00F764D9" w:rsidRPr="00B50AD7" w:rsidRDefault="00F764D9" w:rsidP="004F0E45">
            <w:pPr>
              <w:spacing w:after="0" w:line="240" w:lineRule="auto"/>
              <w:rPr>
                <w:rFonts w:ascii="Garamond" w:eastAsia="Times New Roman" w:hAnsi="Garamond" w:cstheme="minorHAnsi"/>
                <w:color w:val="000000"/>
                <w:lang w:eastAsia="it-IT"/>
              </w:rPr>
            </w:pP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tcPr>
          <w:p w14:paraId="213CEBD8" w14:textId="77777777" w:rsidR="00F764D9" w:rsidRPr="00B50AD7" w:rsidRDefault="00F764D9" w:rsidP="004F0E45">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9308507" w14:textId="77777777" w:rsidR="00F764D9" w:rsidRPr="00B50AD7" w:rsidRDefault="00F764D9" w:rsidP="004F0E4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vAlign w:val="bottom"/>
          </w:tcPr>
          <w:p w14:paraId="156C22EE" w14:textId="77777777" w:rsidR="00F764D9" w:rsidRPr="00B50AD7" w:rsidRDefault="00F764D9" w:rsidP="004F0E4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7084BF94" w14:textId="77777777" w:rsidR="00F764D9" w:rsidRPr="00B50AD7" w:rsidRDefault="00F764D9" w:rsidP="004F0E45">
            <w:pPr>
              <w:spacing w:after="0" w:line="240" w:lineRule="auto"/>
              <w:rPr>
                <w:rFonts w:ascii="Garamond" w:eastAsia="Times New Roman" w:hAnsi="Garamond" w:cstheme="minorHAnsi"/>
                <w:color w:val="000000"/>
                <w:lang w:eastAsia="it-IT"/>
              </w:rPr>
            </w:pPr>
          </w:p>
        </w:tc>
      </w:tr>
      <w:tr w:rsidR="00931239" w:rsidRPr="00B50AD7" w14:paraId="59D53A40" w14:textId="77777777" w:rsidTr="00D97715">
        <w:trPr>
          <w:trHeight w:val="567"/>
          <w:jc w:val="center"/>
        </w:trPr>
        <w:tc>
          <w:tcPr>
            <w:tcW w:w="115" w:type="pct"/>
            <w:tcBorders>
              <w:top w:val="nil"/>
              <w:left w:val="nil"/>
              <w:bottom w:val="nil"/>
              <w:right w:val="single" w:sz="2" w:space="0" w:color="auto"/>
            </w:tcBorders>
            <w:shd w:val="clear" w:color="000000" w:fill="FFFFFF"/>
            <w:vAlign w:val="bottom"/>
          </w:tcPr>
          <w:p w14:paraId="05F3592A" w14:textId="77777777" w:rsidR="00F764D9" w:rsidRPr="00B50AD7" w:rsidRDefault="00F764D9" w:rsidP="004F0E45">
            <w:pPr>
              <w:spacing w:after="0" w:line="240" w:lineRule="auto"/>
              <w:rPr>
                <w:rFonts w:ascii="Garamond" w:eastAsia="Times New Roman" w:hAnsi="Garamond" w:cstheme="minorHAnsi"/>
                <w:color w:val="000000"/>
                <w:lang w:eastAsia="it-IT"/>
              </w:rPr>
            </w:pP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tcPr>
          <w:p w14:paraId="63B047F8" w14:textId="77777777" w:rsidR="00F764D9" w:rsidRPr="00B50AD7" w:rsidRDefault="00F764D9" w:rsidP="004F0E45">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CC5D945" w14:textId="77777777" w:rsidR="00F764D9" w:rsidRPr="00B50AD7" w:rsidRDefault="00F764D9" w:rsidP="004F0E4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vAlign w:val="bottom"/>
          </w:tcPr>
          <w:p w14:paraId="4D2D26A6" w14:textId="77777777" w:rsidR="00F764D9" w:rsidRPr="00B50AD7" w:rsidRDefault="00F764D9" w:rsidP="004F0E4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58308E70" w14:textId="77777777" w:rsidR="00F764D9" w:rsidRPr="00B50AD7" w:rsidRDefault="00F764D9" w:rsidP="004F0E45">
            <w:pPr>
              <w:spacing w:after="0" w:line="240" w:lineRule="auto"/>
              <w:rPr>
                <w:rFonts w:ascii="Garamond" w:eastAsia="Times New Roman" w:hAnsi="Garamond" w:cstheme="minorHAnsi"/>
                <w:color w:val="000000"/>
                <w:lang w:eastAsia="it-IT"/>
              </w:rPr>
            </w:pPr>
          </w:p>
        </w:tc>
      </w:tr>
      <w:tr w:rsidR="00931239" w:rsidRPr="00B50AD7" w14:paraId="324B4D32" w14:textId="77777777" w:rsidTr="00D97715">
        <w:trPr>
          <w:trHeight w:val="567"/>
          <w:jc w:val="center"/>
        </w:trPr>
        <w:tc>
          <w:tcPr>
            <w:tcW w:w="115" w:type="pct"/>
            <w:tcBorders>
              <w:top w:val="nil"/>
              <w:left w:val="nil"/>
              <w:bottom w:val="nil"/>
              <w:right w:val="single" w:sz="2" w:space="0" w:color="auto"/>
            </w:tcBorders>
            <w:shd w:val="clear" w:color="000000" w:fill="FFFFFF"/>
            <w:vAlign w:val="bottom"/>
            <w:hideMark/>
          </w:tcPr>
          <w:p w14:paraId="642881BD"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01061D5C" w14:textId="410E66D0" w:rsidR="00F764D9" w:rsidRPr="00B50AD7" w:rsidRDefault="00DE5A32" w:rsidP="004F0E45">
            <w:pPr>
              <w:spacing w:after="0" w:line="240" w:lineRule="auto"/>
              <w:jc w:val="right"/>
              <w:rPr>
                <w:rFonts w:ascii="Garamond" w:eastAsia="Times New Roman" w:hAnsi="Garamond" w:cstheme="minorHAnsi"/>
                <w:b/>
                <w:bCs/>
                <w:color w:val="FFFFFF"/>
                <w:lang w:eastAsia="it-IT"/>
              </w:rPr>
            </w:pPr>
            <w:r w:rsidRPr="00DE5A32">
              <w:rPr>
                <w:rFonts w:ascii="Garamond" w:eastAsia="Times New Roman" w:hAnsi="Garamond" w:cstheme="minorHAnsi"/>
                <w:b/>
                <w:bCs/>
                <w:color w:val="FFFFFF"/>
                <w:lang w:eastAsia="it-IT"/>
              </w:rPr>
              <w:t>Misura/sub-misura</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2A102E6" w14:textId="77777777" w:rsidR="00F764D9" w:rsidRPr="00B50AD7" w:rsidRDefault="00F764D9" w:rsidP="004F0E45">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vAlign w:val="bottom"/>
            <w:hideMark/>
          </w:tcPr>
          <w:p w14:paraId="55F91F66"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vAlign w:val="bottom"/>
            <w:hideMark/>
          </w:tcPr>
          <w:p w14:paraId="51367C4C"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DE5A32" w:rsidRPr="00B50AD7" w14:paraId="49A9CC68" w14:textId="77777777" w:rsidTr="00D97715">
        <w:trPr>
          <w:trHeight w:val="567"/>
          <w:jc w:val="center"/>
        </w:trPr>
        <w:tc>
          <w:tcPr>
            <w:tcW w:w="115" w:type="pct"/>
            <w:tcBorders>
              <w:top w:val="nil"/>
              <w:left w:val="nil"/>
              <w:bottom w:val="nil"/>
              <w:right w:val="single" w:sz="2" w:space="0" w:color="auto"/>
            </w:tcBorders>
            <w:shd w:val="clear" w:color="000000" w:fill="FFFFFF"/>
            <w:vAlign w:val="bottom"/>
          </w:tcPr>
          <w:p w14:paraId="24643F11" w14:textId="77777777" w:rsidR="00DE5A32" w:rsidRPr="00B50AD7" w:rsidRDefault="00DE5A32" w:rsidP="004F0E45">
            <w:pPr>
              <w:spacing w:after="0" w:line="240" w:lineRule="auto"/>
              <w:rPr>
                <w:rFonts w:ascii="Garamond" w:eastAsia="Times New Roman" w:hAnsi="Garamond" w:cstheme="minorHAnsi"/>
                <w:color w:val="000000"/>
                <w:lang w:eastAsia="it-IT"/>
              </w:rPr>
            </w:pP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tcPr>
          <w:p w14:paraId="34D43251" w14:textId="7882B024" w:rsidR="00DE5A32" w:rsidRPr="00DE5A32" w:rsidRDefault="00BF759D" w:rsidP="004F0E45">
            <w:pPr>
              <w:spacing w:after="0" w:line="240" w:lineRule="auto"/>
              <w:jc w:val="right"/>
              <w:rPr>
                <w:rFonts w:ascii="Garamond" w:eastAsia="Times New Roman" w:hAnsi="Garamond" w:cstheme="minorHAnsi"/>
                <w:b/>
                <w:bCs/>
                <w:color w:val="FFFFFF"/>
                <w:lang w:eastAsia="it-IT"/>
              </w:rPr>
            </w:pPr>
            <w:r w:rsidRPr="00BF759D">
              <w:rPr>
                <w:rFonts w:ascii="Garamond" w:eastAsia="Times New Roman" w:hAnsi="Garamond" w:cstheme="minorHAnsi"/>
                <w:b/>
                <w:bCs/>
                <w:color w:val="FFFFFF"/>
                <w:lang w:eastAsia="it-IT"/>
              </w:rPr>
              <w:t>Investimento/riforma</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9B0E50" w14:textId="77777777" w:rsidR="00DE5A32" w:rsidRPr="00B50AD7" w:rsidRDefault="00DE5A32" w:rsidP="004F0E45">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vAlign w:val="bottom"/>
          </w:tcPr>
          <w:p w14:paraId="1680F871" w14:textId="77777777" w:rsidR="00DE5A32" w:rsidRPr="00B50AD7" w:rsidRDefault="00DE5A32" w:rsidP="004F0E45">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6CC7D7AC" w14:textId="77777777" w:rsidR="00DE5A32" w:rsidRPr="00B50AD7" w:rsidRDefault="00DE5A32" w:rsidP="004F0E45">
            <w:pPr>
              <w:spacing w:after="0" w:line="240" w:lineRule="auto"/>
              <w:rPr>
                <w:rFonts w:ascii="Garamond" w:eastAsia="Times New Roman" w:hAnsi="Garamond" w:cstheme="minorHAnsi"/>
                <w:color w:val="000000"/>
                <w:lang w:eastAsia="it-IT"/>
              </w:rPr>
            </w:pPr>
          </w:p>
        </w:tc>
      </w:tr>
      <w:tr w:rsidR="00931239" w:rsidRPr="00B50AD7" w14:paraId="10AFDD30" w14:textId="77777777" w:rsidTr="00D97715">
        <w:trPr>
          <w:trHeight w:val="567"/>
          <w:jc w:val="center"/>
        </w:trPr>
        <w:tc>
          <w:tcPr>
            <w:tcW w:w="115" w:type="pct"/>
            <w:tcBorders>
              <w:top w:val="nil"/>
              <w:left w:val="nil"/>
              <w:bottom w:val="nil"/>
              <w:right w:val="single" w:sz="2" w:space="0" w:color="auto"/>
            </w:tcBorders>
            <w:shd w:val="clear" w:color="000000" w:fill="FFFFFF"/>
            <w:noWrap/>
            <w:vAlign w:val="bottom"/>
            <w:hideMark/>
          </w:tcPr>
          <w:p w14:paraId="5E4E3311"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tcPr>
          <w:p w14:paraId="7909E96A" w14:textId="608B03E4" w:rsidR="00F764D9" w:rsidRPr="00E237E6" w:rsidRDefault="00F764D9" w:rsidP="004F0E45">
            <w:pPr>
              <w:spacing w:after="0" w:line="240" w:lineRule="auto"/>
              <w:jc w:val="right"/>
              <w:rPr>
                <w:rFonts w:ascii="Garamond" w:eastAsia="Times New Roman" w:hAnsi="Garamond" w:cstheme="minorHAnsi"/>
                <w:b/>
                <w:bCs/>
                <w:color w:val="FFFFFF"/>
                <w:lang w:eastAsia="it-IT"/>
              </w:rPr>
            </w:pPr>
            <w:r w:rsidRPr="00E237E6">
              <w:rPr>
                <w:rFonts w:ascii="Garamond" w:eastAsia="Times New Roman" w:hAnsi="Garamond" w:cstheme="minorHAnsi"/>
                <w:b/>
                <w:bCs/>
                <w:color w:val="FFFFFF"/>
                <w:lang w:eastAsia="it-IT"/>
              </w:rPr>
              <w:t xml:space="preserve">Titolo </w:t>
            </w:r>
            <w:r w:rsidR="0046669A" w:rsidRPr="00E237E6">
              <w:rPr>
                <w:rFonts w:ascii="Garamond" w:eastAsia="Times New Roman" w:hAnsi="Garamond" w:cstheme="minorHAnsi"/>
                <w:b/>
                <w:bCs/>
                <w:color w:val="FFFFFF"/>
                <w:lang w:eastAsia="it-IT"/>
              </w:rPr>
              <w:t>intervento</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C4C8A56" w14:textId="77777777" w:rsidR="00F764D9" w:rsidRPr="00B50AD7" w:rsidRDefault="00F764D9" w:rsidP="004F0E45">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noWrap/>
            <w:vAlign w:val="bottom"/>
            <w:hideMark/>
          </w:tcPr>
          <w:p w14:paraId="6F63BE69"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608CB2AF" w14:textId="77777777" w:rsidR="00F764D9" w:rsidRPr="00B50AD7" w:rsidRDefault="00F764D9" w:rsidP="004F0E45">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7F3487" w:rsidRPr="00B50AD7" w14:paraId="2F281FAB" w14:textId="77777777" w:rsidTr="00D97715">
        <w:trPr>
          <w:trHeight w:val="361"/>
          <w:jc w:val="center"/>
        </w:trPr>
        <w:tc>
          <w:tcPr>
            <w:tcW w:w="115" w:type="pct"/>
            <w:tcBorders>
              <w:top w:val="nil"/>
              <w:left w:val="nil"/>
              <w:bottom w:val="nil"/>
              <w:right w:val="single" w:sz="2" w:space="0" w:color="auto"/>
            </w:tcBorders>
            <w:shd w:val="clear" w:color="000000" w:fill="FFFFFF"/>
            <w:noWrap/>
            <w:vAlign w:val="bottom"/>
          </w:tcPr>
          <w:p w14:paraId="0E029CC3" w14:textId="77777777" w:rsidR="007F3487" w:rsidRPr="00B50AD7" w:rsidRDefault="007F3487" w:rsidP="007F3487">
            <w:pPr>
              <w:spacing w:after="0" w:line="240" w:lineRule="auto"/>
              <w:rPr>
                <w:rFonts w:ascii="Garamond" w:eastAsia="Times New Roman" w:hAnsi="Garamond" w:cstheme="minorHAnsi"/>
                <w:color w:val="000000"/>
                <w:lang w:eastAsia="it-IT"/>
              </w:rPr>
            </w:pPr>
          </w:p>
        </w:tc>
        <w:tc>
          <w:tcPr>
            <w:tcW w:w="1349" w:type="pct"/>
            <w:vMerge w:val="restart"/>
            <w:tcBorders>
              <w:top w:val="single" w:sz="2" w:space="0" w:color="auto"/>
              <w:left w:val="single" w:sz="2" w:space="0" w:color="auto"/>
              <w:right w:val="single" w:sz="2" w:space="0" w:color="auto"/>
            </w:tcBorders>
            <w:shd w:val="clear" w:color="auto" w:fill="00B050"/>
            <w:vAlign w:val="center"/>
          </w:tcPr>
          <w:p w14:paraId="15449EFD" w14:textId="62A659FD" w:rsidR="007F3487" w:rsidRPr="00E237E6" w:rsidRDefault="007F3487" w:rsidP="007F3487">
            <w:pPr>
              <w:spacing w:after="0" w:line="240" w:lineRule="auto"/>
              <w:jc w:val="right"/>
              <w:rPr>
                <w:rFonts w:ascii="Garamond" w:eastAsia="Times New Roman" w:hAnsi="Garamond" w:cstheme="minorHAnsi"/>
                <w:b/>
                <w:bCs/>
                <w:color w:val="FFFFFF"/>
                <w:lang w:eastAsia="it-IT"/>
              </w:rPr>
            </w:pPr>
            <w:r w:rsidRPr="00E237E6">
              <w:rPr>
                <w:rFonts w:ascii="Garamond" w:eastAsia="Times New Roman" w:hAnsi="Garamond" w:cstheme="minorHAnsi"/>
                <w:b/>
                <w:bCs/>
                <w:color w:val="FFFFFF"/>
                <w:lang w:eastAsia="it-IT"/>
              </w:rPr>
              <w:t>Modalità di attuazione</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4940197" w14:textId="22D73BBE" w:rsidR="007F3487" w:rsidRPr="00B50AD7" w:rsidRDefault="007F3487" w:rsidP="007F3487">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c>
          <w:tcPr>
            <w:tcW w:w="115" w:type="pct"/>
            <w:tcBorders>
              <w:top w:val="nil"/>
              <w:left w:val="single" w:sz="2" w:space="0" w:color="auto"/>
              <w:bottom w:val="nil"/>
              <w:right w:val="nil"/>
            </w:tcBorders>
            <w:shd w:val="clear" w:color="000000" w:fill="FFFFFF"/>
            <w:noWrap/>
            <w:vAlign w:val="bottom"/>
          </w:tcPr>
          <w:p w14:paraId="3D0DC1BE" w14:textId="77777777" w:rsidR="007F3487" w:rsidRPr="00B50AD7" w:rsidRDefault="007F3487" w:rsidP="007F3487">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53CE5F3A" w14:textId="77777777" w:rsidR="007F3487" w:rsidRPr="00B50AD7" w:rsidRDefault="007F3487" w:rsidP="007F3487">
            <w:pPr>
              <w:spacing w:after="0" w:line="240" w:lineRule="auto"/>
              <w:rPr>
                <w:rFonts w:ascii="Garamond" w:eastAsia="Times New Roman" w:hAnsi="Garamond" w:cstheme="minorHAnsi"/>
                <w:color w:val="000000"/>
                <w:lang w:eastAsia="it-IT"/>
              </w:rPr>
            </w:pPr>
          </w:p>
        </w:tc>
      </w:tr>
      <w:tr w:rsidR="007F3487" w:rsidRPr="00B50AD7" w14:paraId="09B4864D" w14:textId="77777777" w:rsidTr="00D97715">
        <w:trPr>
          <w:trHeight w:val="423"/>
          <w:jc w:val="center"/>
        </w:trPr>
        <w:tc>
          <w:tcPr>
            <w:tcW w:w="115" w:type="pct"/>
            <w:tcBorders>
              <w:top w:val="nil"/>
              <w:left w:val="nil"/>
              <w:bottom w:val="nil"/>
              <w:right w:val="single" w:sz="2" w:space="0" w:color="auto"/>
            </w:tcBorders>
            <w:shd w:val="clear" w:color="000000" w:fill="FFFFFF"/>
            <w:noWrap/>
            <w:vAlign w:val="bottom"/>
          </w:tcPr>
          <w:p w14:paraId="1895E25F" w14:textId="77777777" w:rsidR="007F3487" w:rsidRPr="00B50AD7" w:rsidRDefault="007F3487" w:rsidP="007F3487">
            <w:pPr>
              <w:spacing w:after="0" w:line="240" w:lineRule="auto"/>
              <w:rPr>
                <w:rFonts w:ascii="Garamond" w:eastAsia="Times New Roman" w:hAnsi="Garamond" w:cstheme="minorHAnsi"/>
                <w:color w:val="000000"/>
                <w:lang w:eastAsia="it-IT"/>
              </w:rPr>
            </w:pPr>
          </w:p>
        </w:tc>
        <w:tc>
          <w:tcPr>
            <w:tcW w:w="1349" w:type="pct"/>
            <w:vMerge/>
            <w:tcBorders>
              <w:left w:val="single" w:sz="2" w:space="0" w:color="auto"/>
              <w:bottom w:val="single" w:sz="2" w:space="0" w:color="auto"/>
              <w:right w:val="single" w:sz="2" w:space="0" w:color="auto"/>
            </w:tcBorders>
            <w:shd w:val="clear" w:color="auto" w:fill="00B050"/>
            <w:vAlign w:val="center"/>
          </w:tcPr>
          <w:p w14:paraId="491A0963" w14:textId="77777777" w:rsidR="007F3487" w:rsidRPr="00E237E6" w:rsidRDefault="007F3487" w:rsidP="007F3487">
            <w:pPr>
              <w:spacing w:after="0" w:line="240" w:lineRule="auto"/>
              <w:jc w:val="right"/>
              <w:rPr>
                <w:rFonts w:ascii="Garamond" w:eastAsia="Times New Roman" w:hAnsi="Garamond" w:cstheme="minorHAnsi"/>
                <w:b/>
                <w:bCs/>
                <w:color w:val="FFFFFF"/>
                <w:lang w:eastAsia="it-IT"/>
              </w:rPr>
            </w:pP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6E7019F" w14:textId="361BB307" w:rsidR="007F3487" w:rsidRPr="00B50AD7" w:rsidRDefault="007F3487" w:rsidP="007F3487">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c>
          <w:tcPr>
            <w:tcW w:w="115" w:type="pct"/>
            <w:tcBorders>
              <w:top w:val="nil"/>
              <w:left w:val="single" w:sz="2" w:space="0" w:color="auto"/>
              <w:bottom w:val="nil"/>
              <w:right w:val="nil"/>
            </w:tcBorders>
            <w:shd w:val="clear" w:color="000000" w:fill="FFFFFF"/>
            <w:noWrap/>
            <w:vAlign w:val="bottom"/>
          </w:tcPr>
          <w:p w14:paraId="6735DE64" w14:textId="77777777" w:rsidR="007F3487" w:rsidRPr="00B50AD7" w:rsidRDefault="007F3487" w:rsidP="007F3487">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18A193EC" w14:textId="77777777" w:rsidR="007F3487" w:rsidRPr="00B50AD7" w:rsidRDefault="007F3487" w:rsidP="007F3487">
            <w:pPr>
              <w:spacing w:after="0" w:line="240" w:lineRule="auto"/>
              <w:rPr>
                <w:rFonts w:ascii="Garamond" w:eastAsia="Times New Roman" w:hAnsi="Garamond" w:cstheme="minorHAnsi"/>
                <w:color w:val="000000"/>
                <w:lang w:eastAsia="it-IT"/>
              </w:rPr>
            </w:pPr>
          </w:p>
        </w:tc>
      </w:tr>
      <w:tr w:rsidR="007F3487" w:rsidRPr="00B50AD7" w14:paraId="788F58D7" w14:textId="77777777" w:rsidTr="00D97715">
        <w:trPr>
          <w:trHeight w:val="567"/>
          <w:jc w:val="center"/>
        </w:trPr>
        <w:tc>
          <w:tcPr>
            <w:tcW w:w="115" w:type="pct"/>
            <w:tcBorders>
              <w:top w:val="nil"/>
              <w:left w:val="nil"/>
              <w:bottom w:val="nil"/>
              <w:right w:val="single" w:sz="2" w:space="0" w:color="auto"/>
            </w:tcBorders>
            <w:shd w:val="clear" w:color="000000" w:fill="FFFFFF"/>
            <w:vAlign w:val="bottom"/>
            <w:hideMark/>
          </w:tcPr>
          <w:p w14:paraId="78374CCA" w14:textId="77777777" w:rsidR="007F3487" w:rsidRPr="00B50AD7" w:rsidRDefault="007F3487" w:rsidP="007F3487">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tcPr>
          <w:p w14:paraId="7C89EACC" w14:textId="29BD5925" w:rsidR="007F3487" w:rsidRPr="00E237E6" w:rsidRDefault="007F3487" w:rsidP="007F3487">
            <w:pPr>
              <w:spacing w:after="0" w:line="240" w:lineRule="auto"/>
              <w:jc w:val="right"/>
              <w:rPr>
                <w:rFonts w:ascii="Garamond" w:eastAsia="Times New Roman" w:hAnsi="Garamond" w:cstheme="minorHAnsi"/>
                <w:b/>
                <w:bCs/>
                <w:color w:val="FFFFFF"/>
                <w:lang w:eastAsia="it-IT"/>
              </w:rPr>
            </w:pPr>
            <w:r w:rsidRPr="00E237E6">
              <w:rPr>
                <w:rFonts w:ascii="Garamond" w:eastAsia="Times New Roman" w:hAnsi="Garamond" w:cstheme="minorHAnsi"/>
                <w:b/>
                <w:bCs/>
                <w:color w:val="FFFFFF"/>
                <w:lang w:eastAsia="it-IT"/>
              </w:rPr>
              <w:t>Soggetto Attuatore</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2019968" w14:textId="77777777" w:rsidR="007F3487" w:rsidRPr="00B50AD7" w:rsidRDefault="007F3487" w:rsidP="007F3487">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vAlign w:val="bottom"/>
            <w:hideMark/>
          </w:tcPr>
          <w:p w14:paraId="22670A04" w14:textId="77777777" w:rsidR="007F3487" w:rsidRPr="00B50AD7" w:rsidRDefault="007F3487" w:rsidP="007F3487">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vAlign w:val="bottom"/>
            <w:hideMark/>
          </w:tcPr>
          <w:p w14:paraId="65F8101F" w14:textId="77777777" w:rsidR="007F3487" w:rsidRPr="00B50AD7" w:rsidRDefault="007F3487" w:rsidP="007F3487">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7F3487" w:rsidRPr="00B50AD7" w14:paraId="51F40A65" w14:textId="77777777" w:rsidTr="00D97715">
        <w:trPr>
          <w:trHeight w:val="567"/>
          <w:jc w:val="center"/>
        </w:trPr>
        <w:tc>
          <w:tcPr>
            <w:tcW w:w="115" w:type="pct"/>
            <w:tcBorders>
              <w:top w:val="nil"/>
              <w:left w:val="nil"/>
              <w:bottom w:val="nil"/>
              <w:right w:val="single" w:sz="2" w:space="0" w:color="auto"/>
            </w:tcBorders>
            <w:shd w:val="clear" w:color="000000" w:fill="FFFFFF"/>
            <w:vAlign w:val="bottom"/>
          </w:tcPr>
          <w:p w14:paraId="5C600C4D" w14:textId="77777777" w:rsidR="007F3487" w:rsidRPr="00B50AD7" w:rsidRDefault="007F3487" w:rsidP="007F3487">
            <w:pPr>
              <w:spacing w:after="0" w:line="240" w:lineRule="auto"/>
              <w:rPr>
                <w:rFonts w:ascii="Garamond" w:eastAsia="Times New Roman" w:hAnsi="Garamond" w:cstheme="minorHAnsi"/>
                <w:color w:val="000000"/>
                <w:lang w:eastAsia="it-IT"/>
              </w:rPr>
            </w:pP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tcPr>
          <w:p w14:paraId="6BC4C92D" w14:textId="3D86B6AE" w:rsidR="007F3487" w:rsidRPr="00E237E6" w:rsidRDefault="007F3487" w:rsidP="007F3487">
            <w:pPr>
              <w:spacing w:after="0" w:line="240" w:lineRule="auto"/>
              <w:jc w:val="right"/>
              <w:rPr>
                <w:rFonts w:ascii="Garamond" w:eastAsia="Times New Roman" w:hAnsi="Garamond" w:cstheme="minorHAnsi"/>
                <w:b/>
                <w:bCs/>
                <w:color w:val="FFFFFF"/>
                <w:lang w:eastAsia="it-IT"/>
              </w:rPr>
            </w:pPr>
            <w:r w:rsidRPr="00E237E6">
              <w:rPr>
                <w:rFonts w:ascii="Garamond" w:eastAsia="Times New Roman" w:hAnsi="Garamond" w:cstheme="minorHAnsi"/>
                <w:b/>
                <w:bCs/>
                <w:color w:val="FFFFFF"/>
                <w:lang w:eastAsia="it-IT"/>
              </w:rPr>
              <w:t>Soggetto Realizzatore</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766B011" w14:textId="77777777" w:rsidR="007F3487" w:rsidRPr="00B50AD7" w:rsidRDefault="007F3487" w:rsidP="007F3487">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vAlign w:val="bottom"/>
          </w:tcPr>
          <w:p w14:paraId="397D6B98" w14:textId="77777777" w:rsidR="007F3487" w:rsidRPr="00B50AD7" w:rsidRDefault="007F3487" w:rsidP="007F3487">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vAlign w:val="bottom"/>
          </w:tcPr>
          <w:p w14:paraId="1B9583F5" w14:textId="77777777" w:rsidR="007F3487" w:rsidRPr="00B50AD7" w:rsidRDefault="007F3487" w:rsidP="007F3487">
            <w:pPr>
              <w:spacing w:after="0" w:line="240" w:lineRule="auto"/>
              <w:rPr>
                <w:rFonts w:ascii="Garamond" w:eastAsia="Times New Roman" w:hAnsi="Garamond" w:cstheme="minorHAnsi"/>
                <w:color w:val="000000"/>
                <w:lang w:eastAsia="it-IT"/>
              </w:rPr>
            </w:pPr>
          </w:p>
        </w:tc>
      </w:tr>
      <w:tr w:rsidR="007F3487" w:rsidRPr="00B50AD7" w14:paraId="332275DD" w14:textId="77777777" w:rsidTr="00D97715">
        <w:trPr>
          <w:trHeight w:val="567"/>
          <w:jc w:val="center"/>
        </w:trPr>
        <w:tc>
          <w:tcPr>
            <w:tcW w:w="115" w:type="pct"/>
            <w:tcBorders>
              <w:top w:val="nil"/>
              <w:left w:val="nil"/>
              <w:bottom w:val="nil"/>
              <w:right w:val="single" w:sz="2" w:space="0" w:color="auto"/>
            </w:tcBorders>
            <w:shd w:val="clear" w:color="000000" w:fill="FFFFFF"/>
            <w:vAlign w:val="bottom"/>
            <w:hideMark/>
          </w:tcPr>
          <w:p w14:paraId="2E50194E" w14:textId="77777777" w:rsidR="007F3487" w:rsidRPr="00B50AD7" w:rsidRDefault="007F3487" w:rsidP="007F3487">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51E7A013" w14:textId="77777777" w:rsidR="007F3487" w:rsidRPr="00E237E6" w:rsidRDefault="007F3487" w:rsidP="007F3487">
            <w:pPr>
              <w:spacing w:after="0" w:line="240" w:lineRule="auto"/>
              <w:jc w:val="right"/>
              <w:rPr>
                <w:rFonts w:ascii="Garamond" w:eastAsia="Times New Roman" w:hAnsi="Garamond" w:cstheme="minorHAnsi"/>
                <w:b/>
                <w:bCs/>
                <w:color w:val="FFFFFF"/>
                <w:lang w:eastAsia="it-IT"/>
              </w:rPr>
            </w:pPr>
            <w:r w:rsidRPr="00E237E6">
              <w:rPr>
                <w:rFonts w:ascii="Garamond" w:eastAsia="Times New Roman" w:hAnsi="Garamond" w:cstheme="minorHAnsi"/>
                <w:b/>
                <w:bCs/>
                <w:color w:val="FFFFFF"/>
                <w:lang w:eastAsia="it-IT"/>
              </w:rPr>
              <w:t>CUP definitivo</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3DF4D178" w14:textId="77777777" w:rsidR="007F3487" w:rsidRPr="00B50AD7" w:rsidRDefault="007F3487" w:rsidP="007F3487">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115" w:type="pct"/>
            <w:tcBorders>
              <w:top w:val="nil"/>
              <w:left w:val="single" w:sz="2" w:space="0" w:color="auto"/>
              <w:bottom w:val="nil"/>
              <w:right w:val="nil"/>
            </w:tcBorders>
            <w:shd w:val="clear" w:color="000000" w:fill="FFFFFF"/>
            <w:noWrap/>
            <w:vAlign w:val="bottom"/>
            <w:hideMark/>
          </w:tcPr>
          <w:p w14:paraId="7414B6E4" w14:textId="77777777" w:rsidR="007F3487" w:rsidRPr="00B50AD7" w:rsidRDefault="007F3487" w:rsidP="007F3487">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59B941E9" w14:textId="77777777" w:rsidR="007F3487" w:rsidRPr="00B50AD7" w:rsidRDefault="007F3487" w:rsidP="007F3487">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6A2AF1" w:rsidRPr="00B50AD7" w14:paraId="7FACE89F" w14:textId="77777777" w:rsidTr="00D97715">
        <w:trPr>
          <w:trHeight w:val="411"/>
          <w:jc w:val="center"/>
        </w:trPr>
        <w:tc>
          <w:tcPr>
            <w:tcW w:w="115" w:type="pct"/>
            <w:tcBorders>
              <w:top w:val="nil"/>
              <w:left w:val="nil"/>
              <w:bottom w:val="nil"/>
              <w:right w:val="single" w:sz="2" w:space="0" w:color="auto"/>
            </w:tcBorders>
            <w:shd w:val="clear" w:color="000000" w:fill="FFFFFF"/>
            <w:vAlign w:val="bottom"/>
          </w:tcPr>
          <w:p w14:paraId="0C25882B"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349" w:type="pct"/>
            <w:vMerge w:val="restart"/>
            <w:tcBorders>
              <w:top w:val="single" w:sz="2" w:space="0" w:color="auto"/>
              <w:left w:val="single" w:sz="2" w:space="0" w:color="auto"/>
              <w:right w:val="single" w:sz="2" w:space="0" w:color="auto"/>
            </w:tcBorders>
            <w:shd w:val="clear" w:color="auto" w:fill="00B050"/>
            <w:vAlign w:val="center"/>
          </w:tcPr>
          <w:p w14:paraId="16E58828" w14:textId="0BCB603E" w:rsidR="006A2AF1" w:rsidRPr="00E237E6" w:rsidRDefault="006A2AF1" w:rsidP="006A2AF1">
            <w:pPr>
              <w:spacing w:after="0" w:line="240" w:lineRule="auto"/>
              <w:jc w:val="right"/>
              <w:rPr>
                <w:rFonts w:ascii="Garamond" w:eastAsia="Times New Roman" w:hAnsi="Garamond" w:cstheme="minorHAnsi"/>
                <w:b/>
                <w:bCs/>
                <w:color w:val="FFFFFF"/>
                <w:lang w:eastAsia="it-IT"/>
              </w:rPr>
            </w:pPr>
            <w:r w:rsidRPr="00E237E6">
              <w:rPr>
                <w:rFonts w:ascii="Garamond" w:eastAsia="Times New Roman" w:hAnsi="Garamond" w:cstheme="minorHAnsi"/>
                <w:b/>
                <w:bCs/>
                <w:color w:val="FFFFFF"/>
                <w:lang w:eastAsia="it-IT"/>
              </w:rPr>
              <w:t>Tagging</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EA51249" w14:textId="1437F12F" w:rsidR="006A2AF1" w:rsidRPr="00B50AD7" w:rsidRDefault="006A2AF1" w:rsidP="006A2AF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clima</w:t>
            </w:r>
          </w:p>
        </w:tc>
        <w:tc>
          <w:tcPr>
            <w:tcW w:w="115" w:type="pct"/>
            <w:tcBorders>
              <w:top w:val="nil"/>
              <w:left w:val="single" w:sz="2" w:space="0" w:color="auto"/>
              <w:bottom w:val="nil"/>
              <w:right w:val="nil"/>
            </w:tcBorders>
            <w:shd w:val="clear" w:color="000000" w:fill="FFFFFF"/>
            <w:noWrap/>
            <w:vAlign w:val="bottom"/>
          </w:tcPr>
          <w:p w14:paraId="1DBB7DB9"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3CD2D7C8" w14:textId="77777777" w:rsidR="006A2AF1" w:rsidRPr="00B50AD7" w:rsidRDefault="006A2AF1" w:rsidP="006A2AF1">
            <w:pPr>
              <w:spacing w:after="0" w:line="240" w:lineRule="auto"/>
              <w:rPr>
                <w:rFonts w:ascii="Garamond" w:eastAsia="Times New Roman" w:hAnsi="Garamond" w:cstheme="minorHAnsi"/>
                <w:color w:val="000000"/>
                <w:lang w:eastAsia="it-IT"/>
              </w:rPr>
            </w:pPr>
          </w:p>
        </w:tc>
      </w:tr>
      <w:tr w:rsidR="006A2AF1" w:rsidRPr="00B50AD7" w14:paraId="7C6B0558" w14:textId="77777777" w:rsidTr="00D97715">
        <w:trPr>
          <w:trHeight w:val="403"/>
          <w:jc w:val="center"/>
        </w:trPr>
        <w:tc>
          <w:tcPr>
            <w:tcW w:w="115" w:type="pct"/>
            <w:tcBorders>
              <w:top w:val="nil"/>
              <w:left w:val="nil"/>
              <w:bottom w:val="nil"/>
              <w:right w:val="single" w:sz="2" w:space="0" w:color="auto"/>
            </w:tcBorders>
            <w:shd w:val="clear" w:color="000000" w:fill="FFFFFF"/>
            <w:vAlign w:val="bottom"/>
          </w:tcPr>
          <w:p w14:paraId="020476FB"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349" w:type="pct"/>
            <w:vMerge/>
            <w:tcBorders>
              <w:left w:val="single" w:sz="2" w:space="0" w:color="auto"/>
              <w:bottom w:val="single" w:sz="2" w:space="0" w:color="auto"/>
              <w:right w:val="single" w:sz="2" w:space="0" w:color="auto"/>
            </w:tcBorders>
            <w:shd w:val="clear" w:color="auto" w:fill="00B050"/>
            <w:vAlign w:val="center"/>
          </w:tcPr>
          <w:p w14:paraId="005534BC" w14:textId="77777777" w:rsidR="006A2AF1" w:rsidRPr="00E237E6" w:rsidRDefault="006A2AF1" w:rsidP="006A2AF1">
            <w:pPr>
              <w:spacing w:after="0" w:line="240" w:lineRule="auto"/>
              <w:jc w:val="right"/>
              <w:rPr>
                <w:rFonts w:ascii="Garamond" w:eastAsia="Times New Roman" w:hAnsi="Garamond" w:cstheme="minorHAnsi"/>
                <w:b/>
                <w:bCs/>
                <w:color w:val="FFFFFF"/>
                <w:lang w:eastAsia="it-IT"/>
              </w:rPr>
            </w:pP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FD4B097" w14:textId="412C5691" w:rsidR="006A2AF1" w:rsidRPr="00B50AD7" w:rsidRDefault="006A2AF1" w:rsidP="006A2AF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digitale</w:t>
            </w:r>
          </w:p>
        </w:tc>
        <w:tc>
          <w:tcPr>
            <w:tcW w:w="115" w:type="pct"/>
            <w:tcBorders>
              <w:top w:val="nil"/>
              <w:left w:val="single" w:sz="2" w:space="0" w:color="auto"/>
              <w:bottom w:val="nil"/>
              <w:right w:val="nil"/>
            </w:tcBorders>
            <w:shd w:val="clear" w:color="000000" w:fill="FFFFFF"/>
            <w:noWrap/>
            <w:vAlign w:val="bottom"/>
          </w:tcPr>
          <w:p w14:paraId="7D878CB4"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542DCF00" w14:textId="77777777" w:rsidR="006A2AF1" w:rsidRPr="00B50AD7" w:rsidRDefault="006A2AF1" w:rsidP="006A2AF1">
            <w:pPr>
              <w:spacing w:after="0" w:line="240" w:lineRule="auto"/>
              <w:rPr>
                <w:rFonts w:ascii="Garamond" w:eastAsia="Times New Roman" w:hAnsi="Garamond" w:cstheme="minorHAnsi"/>
                <w:color w:val="000000"/>
                <w:lang w:eastAsia="it-IT"/>
              </w:rPr>
            </w:pPr>
          </w:p>
        </w:tc>
      </w:tr>
      <w:tr w:rsidR="006A2AF1" w:rsidRPr="00B50AD7" w14:paraId="54C308A6" w14:textId="77777777" w:rsidTr="00D97715">
        <w:trPr>
          <w:trHeight w:val="422"/>
          <w:jc w:val="center"/>
        </w:trPr>
        <w:tc>
          <w:tcPr>
            <w:tcW w:w="115" w:type="pct"/>
            <w:tcBorders>
              <w:top w:val="nil"/>
              <w:left w:val="nil"/>
              <w:bottom w:val="nil"/>
              <w:right w:val="single" w:sz="2" w:space="0" w:color="auto"/>
            </w:tcBorders>
            <w:shd w:val="clear" w:color="000000" w:fill="FFFFFF"/>
            <w:vAlign w:val="bottom"/>
          </w:tcPr>
          <w:p w14:paraId="458F9889"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349" w:type="pct"/>
            <w:vMerge w:val="restart"/>
            <w:tcBorders>
              <w:top w:val="single" w:sz="2" w:space="0" w:color="auto"/>
              <w:left w:val="single" w:sz="2" w:space="0" w:color="auto"/>
              <w:right w:val="single" w:sz="2" w:space="0" w:color="auto"/>
            </w:tcBorders>
            <w:shd w:val="clear" w:color="auto" w:fill="00B050"/>
            <w:vAlign w:val="center"/>
          </w:tcPr>
          <w:p w14:paraId="30DB8D8C" w14:textId="48AEC492" w:rsidR="006A2AF1" w:rsidRPr="00E237E6" w:rsidRDefault="006A2AF1" w:rsidP="006A2AF1">
            <w:pPr>
              <w:spacing w:after="0" w:line="240" w:lineRule="auto"/>
              <w:jc w:val="right"/>
              <w:rPr>
                <w:rFonts w:ascii="Garamond" w:eastAsia="Times New Roman" w:hAnsi="Garamond" w:cstheme="minorHAnsi"/>
                <w:b/>
                <w:bCs/>
                <w:color w:val="FFFFFF"/>
                <w:lang w:eastAsia="it-IT"/>
              </w:rPr>
            </w:pPr>
            <w:r w:rsidRPr="00E237E6">
              <w:rPr>
                <w:rFonts w:ascii="Garamond" w:eastAsia="Times New Roman" w:hAnsi="Garamond" w:cstheme="minorHAnsi"/>
                <w:b/>
                <w:bCs/>
                <w:color w:val="FFFFFF"/>
                <w:lang w:eastAsia="it-IT"/>
              </w:rPr>
              <w:t>Priorità</w:t>
            </w:r>
            <w:r w:rsidR="00C06884">
              <w:rPr>
                <w:rFonts w:ascii="Garamond" w:eastAsia="Times New Roman" w:hAnsi="Garamond" w:cstheme="minorHAnsi"/>
                <w:b/>
                <w:bCs/>
                <w:color w:val="FFFFFF"/>
                <w:lang w:eastAsia="it-IT"/>
              </w:rPr>
              <w:t>/principi</w:t>
            </w:r>
            <w:r w:rsidRPr="00E237E6">
              <w:rPr>
                <w:rFonts w:ascii="Garamond" w:eastAsia="Times New Roman" w:hAnsi="Garamond" w:cstheme="minorHAnsi"/>
                <w:b/>
                <w:bCs/>
                <w:color w:val="FFFFFF"/>
                <w:lang w:eastAsia="it-IT"/>
              </w:rPr>
              <w:t xml:space="preserve"> trasversali PNRR</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1D1FC2A" w14:textId="2704C583" w:rsidR="006A2AF1" w:rsidRPr="00B50AD7" w:rsidRDefault="006A2AF1" w:rsidP="006A2AF1">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parità di genere (Gender Equality</w:t>
            </w:r>
            <w:r>
              <w:rPr>
                <w:rFonts w:ascii="Garamond" w:eastAsia="Times New Roman" w:hAnsi="Garamond" w:cstheme="minorHAnsi"/>
                <w:lang w:eastAsia="it-IT"/>
              </w:rPr>
              <w:t>)</w:t>
            </w:r>
          </w:p>
        </w:tc>
        <w:tc>
          <w:tcPr>
            <w:tcW w:w="115" w:type="pct"/>
            <w:tcBorders>
              <w:top w:val="nil"/>
              <w:left w:val="single" w:sz="2" w:space="0" w:color="auto"/>
              <w:bottom w:val="nil"/>
              <w:right w:val="nil"/>
            </w:tcBorders>
            <w:shd w:val="clear" w:color="000000" w:fill="FFFFFF"/>
            <w:noWrap/>
            <w:vAlign w:val="bottom"/>
          </w:tcPr>
          <w:p w14:paraId="1FC3BBF7"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330EAB01" w14:textId="77777777" w:rsidR="006A2AF1" w:rsidRPr="00B50AD7" w:rsidRDefault="006A2AF1" w:rsidP="006A2AF1">
            <w:pPr>
              <w:spacing w:after="0" w:line="240" w:lineRule="auto"/>
              <w:rPr>
                <w:rFonts w:ascii="Garamond" w:eastAsia="Times New Roman" w:hAnsi="Garamond" w:cstheme="minorHAnsi"/>
                <w:color w:val="000000"/>
                <w:lang w:eastAsia="it-IT"/>
              </w:rPr>
            </w:pPr>
          </w:p>
        </w:tc>
      </w:tr>
      <w:tr w:rsidR="006A2AF1" w:rsidRPr="00B50AD7" w14:paraId="45FC6592" w14:textId="77777777" w:rsidTr="00D97715">
        <w:trPr>
          <w:trHeight w:val="429"/>
          <w:jc w:val="center"/>
        </w:trPr>
        <w:tc>
          <w:tcPr>
            <w:tcW w:w="115" w:type="pct"/>
            <w:tcBorders>
              <w:top w:val="nil"/>
              <w:left w:val="nil"/>
              <w:bottom w:val="nil"/>
              <w:right w:val="single" w:sz="2" w:space="0" w:color="auto"/>
            </w:tcBorders>
            <w:shd w:val="clear" w:color="000000" w:fill="FFFFFF"/>
            <w:vAlign w:val="bottom"/>
          </w:tcPr>
          <w:p w14:paraId="6AD965D4"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349" w:type="pct"/>
            <w:vMerge/>
            <w:tcBorders>
              <w:left w:val="single" w:sz="2" w:space="0" w:color="auto"/>
              <w:right w:val="single" w:sz="2" w:space="0" w:color="auto"/>
            </w:tcBorders>
            <w:shd w:val="clear" w:color="auto" w:fill="00B050"/>
            <w:vAlign w:val="center"/>
          </w:tcPr>
          <w:p w14:paraId="312476D2" w14:textId="77777777" w:rsidR="006A2AF1" w:rsidRPr="00B50AD7" w:rsidRDefault="006A2AF1" w:rsidP="006A2AF1">
            <w:pPr>
              <w:spacing w:after="0" w:line="240" w:lineRule="auto"/>
              <w:jc w:val="right"/>
              <w:rPr>
                <w:rFonts w:ascii="Garamond" w:eastAsia="Times New Roman" w:hAnsi="Garamond" w:cstheme="minorHAnsi"/>
                <w:b/>
                <w:bCs/>
                <w:color w:val="FFFFFF"/>
                <w:lang w:eastAsia="it-IT"/>
              </w:rPr>
            </w:pP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EEF130E" w14:textId="7D19EB28" w:rsidR="006A2AF1" w:rsidRPr="00B50AD7" w:rsidRDefault="006A2AF1" w:rsidP="006A2AF1">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protezione e valorizzazione dei giovani</w:t>
            </w:r>
            <w:r w:rsidRPr="00E82DF8">
              <w:rPr>
                <w:rFonts w:ascii="Garamond" w:eastAsia="Times New Roman" w:hAnsi="Garamond" w:cstheme="minorHAnsi"/>
                <w:lang w:eastAsia="it-IT"/>
              </w:rPr>
              <w:tab/>
            </w:r>
          </w:p>
        </w:tc>
        <w:tc>
          <w:tcPr>
            <w:tcW w:w="115" w:type="pct"/>
            <w:tcBorders>
              <w:top w:val="nil"/>
              <w:left w:val="single" w:sz="2" w:space="0" w:color="auto"/>
              <w:bottom w:val="nil"/>
              <w:right w:val="nil"/>
            </w:tcBorders>
            <w:shd w:val="clear" w:color="000000" w:fill="FFFFFF"/>
            <w:noWrap/>
            <w:vAlign w:val="bottom"/>
          </w:tcPr>
          <w:p w14:paraId="14BAE5D7"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61103634" w14:textId="77777777" w:rsidR="006A2AF1" w:rsidRPr="00B50AD7" w:rsidRDefault="006A2AF1" w:rsidP="006A2AF1">
            <w:pPr>
              <w:spacing w:after="0" w:line="240" w:lineRule="auto"/>
              <w:rPr>
                <w:rFonts w:ascii="Garamond" w:eastAsia="Times New Roman" w:hAnsi="Garamond" w:cstheme="minorHAnsi"/>
                <w:color w:val="000000"/>
                <w:lang w:eastAsia="it-IT"/>
              </w:rPr>
            </w:pPr>
          </w:p>
        </w:tc>
      </w:tr>
      <w:tr w:rsidR="006A2AF1" w:rsidRPr="00B50AD7" w14:paraId="58F0495F" w14:textId="77777777" w:rsidTr="00D97715">
        <w:trPr>
          <w:trHeight w:val="421"/>
          <w:jc w:val="center"/>
        </w:trPr>
        <w:tc>
          <w:tcPr>
            <w:tcW w:w="115" w:type="pct"/>
            <w:tcBorders>
              <w:top w:val="nil"/>
              <w:left w:val="nil"/>
              <w:bottom w:val="nil"/>
              <w:right w:val="single" w:sz="2" w:space="0" w:color="auto"/>
            </w:tcBorders>
            <w:shd w:val="clear" w:color="000000" w:fill="FFFFFF"/>
            <w:vAlign w:val="bottom"/>
          </w:tcPr>
          <w:p w14:paraId="3E1E24BC"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349" w:type="pct"/>
            <w:vMerge/>
            <w:tcBorders>
              <w:left w:val="single" w:sz="2" w:space="0" w:color="auto"/>
              <w:right w:val="single" w:sz="2" w:space="0" w:color="auto"/>
            </w:tcBorders>
            <w:shd w:val="clear" w:color="auto" w:fill="00B050"/>
            <w:vAlign w:val="center"/>
          </w:tcPr>
          <w:p w14:paraId="257423BB" w14:textId="77777777" w:rsidR="006A2AF1" w:rsidRPr="00B50AD7" w:rsidRDefault="006A2AF1" w:rsidP="006A2AF1">
            <w:pPr>
              <w:spacing w:after="0" w:line="240" w:lineRule="auto"/>
              <w:jc w:val="right"/>
              <w:rPr>
                <w:rFonts w:ascii="Garamond" w:eastAsia="Times New Roman" w:hAnsi="Garamond" w:cstheme="minorHAnsi"/>
                <w:b/>
                <w:bCs/>
                <w:color w:val="FFFFFF"/>
                <w:lang w:eastAsia="it-IT"/>
              </w:rPr>
            </w:pP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38B71D5" w14:textId="665F630D" w:rsidR="006A2AF1" w:rsidRPr="00B50AD7" w:rsidRDefault="006A2AF1" w:rsidP="006A2AF1">
            <w:pPr>
              <w:spacing w:after="0" w:line="240" w:lineRule="auto"/>
              <w:rPr>
                <w:rFonts w:ascii="Garamond" w:eastAsia="Times New Roman" w:hAnsi="Garamond" w:cstheme="minorHAnsi"/>
                <w:lang w:eastAsia="it-IT"/>
              </w:rPr>
            </w:pPr>
            <w:r w:rsidRPr="00E82DF8">
              <w:rPr>
                <w:rFonts w:ascii="Garamond" w:eastAsia="Times New Roman" w:hAnsi="Garamond" w:cstheme="minorHAnsi"/>
                <w:lang w:eastAsia="it-IT"/>
              </w:rPr>
              <w:t>□ superamento dei divari territoriali</w:t>
            </w:r>
          </w:p>
        </w:tc>
        <w:tc>
          <w:tcPr>
            <w:tcW w:w="115" w:type="pct"/>
            <w:tcBorders>
              <w:top w:val="nil"/>
              <w:left w:val="single" w:sz="2" w:space="0" w:color="auto"/>
              <w:bottom w:val="nil"/>
              <w:right w:val="nil"/>
            </w:tcBorders>
            <w:shd w:val="clear" w:color="000000" w:fill="FFFFFF"/>
            <w:noWrap/>
            <w:vAlign w:val="bottom"/>
          </w:tcPr>
          <w:p w14:paraId="479ADB5C"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1ADE3051" w14:textId="77777777" w:rsidR="006A2AF1" w:rsidRPr="00B50AD7" w:rsidRDefault="006A2AF1" w:rsidP="006A2AF1">
            <w:pPr>
              <w:spacing w:after="0" w:line="240" w:lineRule="auto"/>
              <w:rPr>
                <w:rFonts w:ascii="Garamond" w:eastAsia="Times New Roman" w:hAnsi="Garamond" w:cstheme="minorHAnsi"/>
                <w:color w:val="000000"/>
                <w:lang w:eastAsia="it-IT"/>
              </w:rPr>
            </w:pPr>
          </w:p>
        </w:tc>
      </w:tr>
      <w:tr w:rsidR="006A2AF1" w:rsidRPr="00B50AD7" w14:paraId="7A378334" w14:textId="77777777" w:rsidTr="00D97715">
        <w:trPr>
          <w:trHeight w:val="427"/>
          <w:jc w:val="center"/>
        </w:trPr>
        <w:tc>
          <w:tcPr>
            <w:tcW w:w="115" w:type="pct"/>
            <w:tcBorders>
              <w:top w:val="nil"/>
              <w:left w:val="nil"/>
              <w:bottom w:val="nil"/>
              <w:right w:val="single" w:sz="2" w:space="0" w:color="auto"/>
            </w:tcBorders>
            <w:shd w:val="clear" w:color="000000" w:fill="FFFFFF"/>
            <w:vAlign w:val="bottom"/>
          </w:tcPr>
          <w:p w14:paraId="5C9569E6"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349" w:type="pct"/>
            <w:vMerge/>
            <w:tcBorders>
              <w:left w:val="single" w:sz="2" w:space="0" w:color="auto"/>
              <w:bottom w:val="single" w:sz="2" w:space="0" w:color="auto"/>
              <w:right w:val="single" w:sz="2" w:space="0" w:color="auto"/>
            </w:tcBorders>
            <w:shd w:val="clear" w:color="auto" w:fill="00B050"/>
            <w:vAlign w:val="center"/>
          </w:tcPr>
          <w:p w14:paraId="6B0C91D1" w14:textId="77777777" w:rsidR="006A2AF1" w:rsidRPr="00B50AD7" w:rsidRDefault="006A2AF1" w:rsidP="006A2AF1">
            <w:pPr>
              <w:spacing w:after="0" w:line="240" w:lineRule="auto"/>
              <w:jc w:val="right"/>
              <w:rPr>
                <w:rFonts w:ascii="Garamond" w:eastAsia="Times New Roman" w:hAnsi="Garamond" w:cstheme="minorHAnsi"/>
                <w:b/>
                <w:bCs/>
                <w:color w:val="FFFFFF"/>
                <w:lang w:eastAsia="it-IT"/>
              </w:rPr>
            </w:pP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C42E307" w14:textId="7467DDEF" w:rsidR="006A2AF1" w:rsidRPr="00B50AD7" w:rsidRDefault="006A2AF1" w:rsidP="006A2AF1">
            <w:pPr>
              <w:spacing w:after="0" w:line="240" w:lineRule="auto"/>
              <w:rPr>
                <w:rFonts w:ascii="Garamond" w:eastAsia="Times New Roman" w:hAnsi="Garamond" w:cstheme="minorHAnsi"/>
                <w:lang w:eastAsia="it-IT"/>
              </w:rPr>
            </w:pPr>
            <w:r w:rsidRPr="00B622EC">
              <w:rPr>
                <w:rFonts w:ascii="Garamond" w:eastAsia="Times New Roman" w:hAnsi="Garamond" w:cstheme="minorHAnsi"/>
                <w:lang w:eastAsia="it-IT"/>
              </w:rPr>
              <w:t>□ DNSH</w:t>
            </w:r>
            <w:r w:rsidRPr="00E82DF8" w:rsidDel="00C826B9">
              <w:rPr>
                <w:rFonts w:ascii="Garamond" w:eastAsia="Times New Roman" w:hAnsi="Garamond" w:cstheme="minorHAnsi"/>
                <w:lang w:eastAsia="it-IT"/>
              </w:rPr>
              <w:t xml:space="preserve"> </w:t>
            </w:r>
          </w:p>
        </w:tc>
        <w:tc>
          <w:tcPr>
            <w:tcW w:w="115" w:type="pct"/>
            <w:tcBorders>
              <w:top w:val="nil"/>
              <w:left w:val="single" w:sz="2" w:space="0" w:color="auto"/>
              <w:bottom w:val="nil"/>
              <w:right w:val="nil"/>
            </w:tcBorders>
            <w:shd w:val="clear" w:color="000000" w:fill="FFFFFF"/>
            <w:noWrap/>
            <w:vAlign w:val="bottom"/>
          </w:tcPr>
          <w:p w14:paraId="0D0C7729" w14:textId="77777777" w:rsidR="006A2AF1" w:rsidRPr="00B50AD7" w:rsidRDefault="006A2AF1" w:rsidP="006A2AF1">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32441DC9" w14:textId="77777777" w:rsidR="006A2AF1" w:rsidRPr="00B50AD7" w:rsidRDefault="006A2AF1" w:rsidP="006A2AF1">
            <w:pPr>
              <w:spacing w:after="0" w:line="240" w:lineRule="auto"/>
              <w:rPr>
                <w:rFonts w:ascii="Garamond" w:eastAsia="Times New Roman" w:hAnsi="Garamond" w:cstheme="minorHAnsi"/>
                <w:color w:val="000000"/>
                <w:lang w:eastAsia="it-IT"/>
              </w:rPr>
            </w:pPr>
          </w:p>
        </w:tc>
      </w:tr>
      <w:tr w:rsidR="006A2AF1" w:rsidRPr="00B50AD7" w14:paraId="54DB775E" w14:textId="77777777" w:rsidTr="00D97715">
        <w:trPr>
          <w:trHeight w:val="567"/>
          <w:jc w:val="center"/>
        </w:trPr>
        <w:tc>
          <w:tcPr>
            <w:tcW w:w="115" w:type="pct"/>
            <w:tcBorders>
              <w:top w:val="nil"/>
              <w:left w:val="nil"/>
              <w:bottom w:val="nil"/>
              <w:right w:val="single" w:sz="2" w:space="0" w:color="auto"/>
            </w:tcBorders>
            <w:shd w:val="clear" w:color="000000" w:fill="FFFFFF"/>
            <w:vAlign w:val="bottom"/>
            <w:hideMark/>
          </w:tcPr>
          <w:p w14:paraId="4C10808B" w14:textId="77777777" w:rsidR="006A2AF1" w:rsidRPr="00B50AD7" w:rsidRDefault="006A2AF1" w:rsidP="006A2AF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3020257F" w14:textId="77777777" w:rsidR="006A2AF1" w:rsidRPr="00B50AD7" w:rsidRDefault="006A2AF1" w:rsidP="006A2AF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Data di avvio e conclusione</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BF1A26C" w14:textId="77777777" w:rsidR="00671438" w:rsidRPr="00671438" w:rsidRDefault="006A2AF1" w:rsidP="0067143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00671438" w:rsidRPr="00671438">
              <w:rPr>
                <w:rFonts w:ascii="Garamond" w:eastAsia="Times New Roman" w:hAnsi="Garamond" w:cstheme="minorHAnsi"/>
                <w:lang w:eastAsia="it-IT"/>
              </w:rPr>
              <w:t>Avvio: [___________]</w:t>
            </w:r>
          </w:p>
          <w:p w14:paraId="5C4B3A2C" w14:textId="5FF1029E" w:rsidR="006A2AF1" w:rsidRPr="00B50AD7" w:rsidRDefault="00671438" w:rsidP="00671438">
            <w:pPr>
              <w:spacing w:after="0" w:line="240" w:lineRule="auto"/>
              <w:rPr>
                <w:rFonts w:ascii="Garamond" w:eastAsia="Times New Roman" w:hAnsi="Garamond" w:cstheme="minorHAnsi"/>
                <w:lang w:eastAsia="it-IT"/>
              </w:rPr>
            </w:pPr>
            <w:r w:rsidRPr="00671438">
              <w:rPr>
                <w:rFonts w:ascii="Garamond" w:eastAsia="Times New Roman" w:hAnsi="Garamond" w:cstheme="minorHAnsi"/>
                <w:lang w:eastAsia="it-IT"/>
              </w:rPr>
              <w:t>Conclusione: [___________]</w:t>
            </w:r>
          </w:p>
        </w:tc>
        <w:tc>
          <w:tcPr>
            <w:tcW w:w="115" w:type="pct"/>
            <w:tcBorders>
              <w:top w:val="nil"/>
              <w:left w:val="single" w:sz="2" w:space="0" w:color="auto"/>
              <w:bottom w:val="nil"/>
              <w:right w:val="nil"/>
            </w:tcBorders>
            <w:shd w:val="clear" w:color="000000" w:fill="FFFFFF"/>
            <w:noWrap/>
            <w:vAlign w:val="bottom"/>
            <w:hideMark/>
          </w:tcPr>
          <w:p w14:paraId="4D039D4C" w14:textId="77777777" w:rsidR="006A2AF1" w:rsidRPr="00B50AD7" w:rsidRDefault="006A2AF1" w:rsidP="006A2AF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1EB65B5B" w14:textId="77777777" w:rsidR="006A2AF1" w:rsidRPr="00B50AD7" w:rsidRDefault="006A2AF1" w:rsidP="006A2AF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C0ABA" w:rsidRPr="00B50AD7" w14:paraId="4FA7E3D1" w14:textId="77777777" w:rsidTr="00D97715">
        <w:trPr>
          <w:trHeight w:val="567"/>
          <w:jc w:val="center"/>
        </w:trPr>
        <w:tc>
          <w:tcPr>
            <w:tcW w:w="115" w:type="pct"/>
            <w:tcBorders>
              <w:top w:val="nil"/>
              <w:left w:val="nil"/>
              <w:bottom w:val="nil"/>
              <w:right w:val="single" w:sz="2" w:space="0" w:color="auto"/>
            </w:tcBorders>
            <w:shd w:val="clear" w:color="000000" w:fill="FFFFFF"/>
            <w:vAlign w:val="bottom"/>
            <w:hideMark/>
          </w:tcPr>
          <w:p w14:paraId="027F2BAA" w14:textId="77777777" w:rsidR="00FC0ABA" w:rsidRPr="00B50AD7" w:rsidRDefault="00FC0ABA" w:rsidP="00FC0AB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hideMark/>
          </w:tcPr>
          <w:p w14:paraId="63BADC6B" w14:textId="63E817D2" w:rsidR="00FC0ABA" w:rsidRPr="00B50AD7" w:rsidRDefault="00FC0ABA" w:rsidP="00FC0AB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Costo totale progetto</w:t>
            </w:r>
            <w:r>
              <w:rPr>
                <w:rFonts w:ascii="Garamond" w:eastAsia="Times New Roman" w:hAnsi="Garamond" w:cstheme="minorHAnsi"/>
                <w:b/>
                <w:bCs/>
                <w:color w:val="FFFFFF"/>
                <w:lang w:eastAsia="it-IT"/>
              </w:rPr>
              <w:t xml:space="preserve"> (€)</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2A6CF8A" w14:textId="502122DC" w:rsidR="00FC0ABA" w:rsidRPr="00B50AD7" w:rsidRDefault="00FC0ABA" w:rsidP="00FC0AB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115" w:type="pct"/>
            <w:tcBorders>
              <w:top w:val="nil"/>
              <w:left w:val="single" w:sz="2" w:space="0" w:color="auto"/>
              <w:bottom w:val="nil"/>
              <w:right w:val="nil"/>
            </w:tcBorders>
            <w:shd w:val="clear" w:color="000000" w:fill="FFFFFF"/>
            <w:noWrap/>
            <w:vAlign w:val="bottom"/>
            <w:hideMark/>
          </w:tcPr>
          <w:p w14:paraId="2474A35F" w14:textId="77777777" w:rsidR="00FC0ABA" w:rsidRPr="00B50AD7" w:rsidRDefault="00FC0ABA" w:rsidP="00FC0AB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5" w:type="pct"/>
            <w:tcBorders>
              <w:top w:val="nil"/>
              <w:left w:val="nil"/>
              <w:bottom w:val="nil"/>
              <w:right w:val="nil"/>
            </w:tcBorders>
            <w:shd w:val="clear" w:color="000000" w:fill="FFFFFF"/>
            <w:noWrap/>
            <w:vAlign w:val="bottom"/>
            <w:hideMark/>
          </w:tcPr>
          <w:p w14:paraId="29AC3CDE" w14:textId="77777777" w:rsidR="00FC0ABA" w:rsidRPr="00B50AD7" w:rsidRDefault="00FC0ABA" w:rsidP="00FC0AB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C0ABA" w:rsidRPr="00B50AD7" w14:paraId="2D0E8492" w14:textId="77777777" w:rsidTr="00D97715">
        <w:trPr>
          <w:trHeight w:val="567"/>
          <w:jc w:val="center"/>
        </w:trPr>
        <w:tc>
          <w:tcPr>
            <w:tcW w:w="115" w:type="pct"/>
            <w:tcBorders>
              <w:top w:val="nil"/>
              <w:left w:val="nil"/>
              <w:bottom w:val="nil"/>
              <w:right w:val="single" w:sz="2" w:space="0" w:color="auto"/>
            </w:tcBorders>
            <w:shd w:val="clear" w:color="000000" w:fill="FFFFFF"/>
            <w:vAlign w:val="bottom"/>
          </w:tcPr>
          <w:p w14:paraId="3C13C3F8" w14:textId="77777777" w:rsidR="00FC0ABA" w:rsidRPr="00B50AD7" w:rsidRDefault="00FC0ABA" w:rsidP="00FC0ABA">
            <w:pPr>
              <w:spacing w:after="0" w:line="240" w:lineRule="auto"/>
              <w:rPr>
                <w:rFonts w:ascii="Garamond" w:eastAsia="Times New Roman" w:hAnsi="Garamond" w:cstheme="minorHAnsi"/>
                <w:color w:val="000000"/>
                <w:lang w:eastAsia="it-IT"/>
              </w:rPr>
            </w:pP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tcPr>
          <w:p w14:paraId="5D51CBA6" w14:textId="7ED7B6A8" w:rsidR="00FC0ABA" w:rsidRPr="00B50AD7" w:rsidRDefault="00FC0ABA" w:rsidP="00FC0AB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Di cui costo ammesso PNRR</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8C8C213" w14:textId="77777777" w:rsidR="00FC0ABA" w:rsidRDefault="00FC0ABA" w:rsidP="00FC0AB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p w14:paraId="25FE7A58" w14:textId="03D4E102" w:rsidR="0036044E" w:rsidRPr="0036044E" w:rsidRDefault="0036044E" w:rsidP="0036044E">
            <w:pPr>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noWrap/>
            <w:vAlign w:val="bottom"/>
          </w:tcPr>
          <w:p w14:paraId="2EA8500C" w14:textId="77777777" w:rsidR="00FC0ABA" w:rsidRPr="00B50AD7" w:rsidRDefault="00FC0ABA" w:rsidP="00FC0ABA">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0A139A2E" w14:textId="77777777" w:rsidR="00FC0ABA" w:rsidRPr="00B50AD7" w:rsidRDefault="00FC0ABA" w:rsidP="00FC0ABA">
            <w:pPr>
              <w:spacing w:after="0" w:line="240" w:lineRule="auto"/>
              <w:rPr>
                <w:rFonts w:ascii="Garamond" w:eastAsia="Times New Roman" w:hAnsi="Garamond" w:cstheme="minorHAnsi"/>
                <w:color w:val="000000"/>
                <w:lang w:eastAsia="it-IT"/>
              </w:rPr>
            </w:pPr>
          </w:p>
        </w:tc>
      </w:tr>
      <w:tr w:rsidR="00FC4068" w:rsidRPr="00B50AD7" w14:paraId="74C08155" w14:textId="77777777" w:rsidTr="00D97715">
        <w:trPr>
          <w:trHeight w:val="567"/>
          <w:jc w:val="center"/>
        </w:trPr>
        <w:tc>
          <w:tcPr>
            <w:tcW w:w="115" w:type="pct"/>
            <w:tcBorders>
              <w:top w:val="nil"/>
              <w:left w:val="nil"/>
              <w:bottom w:val="nil"/>
              <w:right w:val="single" w:sz="2" w:space="0" w:color="auto"/>
            </w:tcBorders>
            <w:shd w:val="clear" w:color="000000" w:fill="FFFFFF"/>
            <w:vAlign w:val="bottom"/>
          </w:tcPr>
          <w:p w14:paraId="7BD616A6" w14:textId="77777777" w:rsidR="00FC4068" w:rsidRPr="00B50AD7" w:rsidRDefault="00FC4068" w:rsidP="00FC0ABA">
            <w:pPr>
              <w:spacing w:after="0" w:line="240" w:lineRule="auto"/>
              <w:rPr>
                <w:rFonts w:ascii="Garamond" w:eastAsia="Times New Roman" w:hAnsi="Garamond" w:cstheme="minorHAnsi"/>
                <w:color w:val="000000"/>
                <w:lang w:eastAsia="it-IT"/>
              </w:rPr>
            </w:pPr>
          </w:p>
        </w:tc>
        <w:tc>
          <w:tcPr>
            <w:tcW w:w="1349" w:type="pct"/>
            <w:tcBorders>
              <w:top w:val="single" w:sz="2" w:space="0" w:color="auto"/>
              <w:left w:val="single" w:sz="2" w:space="0" w:color="auto"/>
              <w:bottom w:val="single" w:sz="2" w:space="0" w:color="auto"/>
              <w:right w:val="single" w:sz="2" w:space="0" w:color="auto"/>
            </w:tcBorders>
            <w:shd w:val="clear" w:color="auto" w:fill="00B050"/>
            <w:vAlign w:val="center"/>
          </w:tcPr>
          <w:p w14:paraId="4DBD3086" w14:textId="77777777" w:rsidR="00FC4068" w:rsidRDefault="006D596D" w:rsidP="00FC0ABA">
            <w:pPr>
              <w:spacing w:after="0" w:line="240" w:lineRule="auto"/>
              <w:jc w:val="right"/>
              <w:rPr>
                <w:rFonts w:ascii="Garamond" w:eastAsia="Times New Roman" w:hAnsi="Garamond" w:cstheme="minorHAnsi"/>
                <w:b/>
                <w:bCs/>
                <w:color w:val="FFFFFF"/>
                <w:lang w:eastAsia="it-IT"/>
              </w:rPr>
            </w:pPr>
            <w:r w:rsidRPr="006D596D">
              <w:rPr>
                <w:rFonts w:ascii="Garamond" w:eastAsia="Times New Roman" w:hAnsi="Garamond" w:cstheme="minorHAnsi"/>
                <w:b/>
                <w:bCs/>
                <w:color w:val="FFFFFF"/>
                <w:lang w:eastAsia="it-IT"/>
              </w:rPr>
              <w:t>Luogo di conservazione della documentazione</w:t>
            </w:r>
          </w:p>
          <w:p w14:paraId="5F2FEA58" w14:textId="6DFB6BB4" w:rsidR="0036044E" w:rsidRDefault="0036044E" w:rsidP="00FC0ABA">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306"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C3E1E8A" w14:textId="37E30EA2" w:rsidR="00FC4068" w:rsidRPr="00B50AD7" w:rsidRDefault="00FC4068" w:rsidP="00FC0ABA">
            <w:pPr>
              <w:spacing w:after="0" w:line="240" w:lineRule="auto"/>
              <w:rPr>
                <w:rFonts w:ascii="Garamond" w:eastAsia="Times New Roman" w:hAnsi="Garamond" w:cstheme="minorHAnsi"/>
                <w:lang w:eastAsia="it-IT"/>
              </w:rPr>
            </w:pPr>
          </w:p>
        </w:tc>
        <w:tc>
          <w:tcPr>
            <w:tcW w:w="115" w:type="pct"/>
            <w:tcBorders>
              <w:top w:val="nil"/>
              <w:left w:val="single" w:sz="2" w:space="0" w:color="auto"/>
              <w:bottom w:val="nil"/>
              <w:right w:val="nil"/>
            </w:tcBorders>
            <w:shd w:val="clear" w:color="000000" w:fill="FFFFFF"/>
            <w:noWrap/>
            <w:vAlign w:val="bottom"/>
          </w:tcPr>
          <w:p w14:paraId="0626758B" w14:textId="77777777" w:rsidR="00FC4068" w:rsidRPr="00B50AD7" w:rsidRDefault="00FC4068" w:rsidP="00FC0ABA">
            <w:pPr>
              <w:spacing w:after="0" w:line="240" w:lineRule="auto"/>
              <w:rPr>
                <w:rFonts w:ascii="Garamond" w:eastAsia="Times New Roman" w:hAnsi="Garamond" w:cstheme="minorHAnsi"/>
                <w:color w:val="000000"/>
                <w:lang w:eastAsia="it-IT"/>
              </w:rPr>
            </w:pPr>
          </w:p>
        </w:tc>
        <w:tc>
          <w:tcPr>
            <w:tcW w:w="115" w:type="pct"/>
            <w:tcBorders>
              <w:top w:val="nil"/>
              <w:left w:val="nil"/>
              <w:bottom w:val="nil"/>
              <w:right w:val="nil"/>
            </w:tcBorders>
            <w:shd w:val="clear" w:color="000000" w:fill="FFFFFF"/>
            <w:noWrap/>
            <w:vAlign w:val="bottom"/>
          </w:tcPr>
          <w:p w14:paraId="0C780E12" w14:textId="77777777" w:rsidR="00FC4068" w:rsidRPr="00B50AD7" w:rsidRDefault="00FC4068" w:rsidP="00FC0ABA">
            <w:pPr>
              <w:spacing w:after="0" w:line="240" w:lineRule="auto"/>
              <w:rPr>
                <w:rFonts w:ascii="Garamond" w:eastAsia="Times New Roman" w:hAnsi="Garamond" w:cstheme="minorHAnsi"/>
                <w:color w:val="000000"/>
                <w:lang w:eastAsia="it-IT"/>
              </w:rPr>
            </w:pPr>
          </w:p>
        </w:tc>
      </w:tr>
    </w:tbl>
    <w:p w14:paraId="5D470DF1" w14:textId="77777777" w:rsidR="00261237" w:rsidRDefault="00127AC0">
      <w:pPr>
        <w:sectPr w:rsidR="00261237" w:rsidSect="00261237">
          <w:headerReference w:type="default" r:id="rId11"/>
          <w:footerReference w:type="default" r:id="rId12"/>
          <w:pgSz w:w="11906" w:h="16838"/>
          <w:pgMar w:top="1417" w:right="1134" w:bottom="1134" w:left="1134" w:header="708" w:footer="708" w:gutter="0"/>
          <w:cols w:space="708"/>
          <w:docGrid w:linePitch="360"/>
        </w:sectPr>
      </w:pPr>
      <w:r>
        <w:br w:type="page"/>
      </w:r>
    </w:p>
    <w:p w14:paraId="703A45A1" w14:textId="07E7A8E5" w:rsidR="00127AC0" w:rsidRDefault="00127AC0"/>
    <w:tbl>
      <w:tblPr>
        <w:tblW w:w="53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
        <w:gridCol w:w="4524"/>
        <w:gridCol w:w="655"/>
        <w:gridCol w:w="734"/>
        <w:gridCol w:w="670"/>
        <w:gridCol w:w="2296"/>
        <w:gridCol w:w="2978"/>
        <w:gridCol w:w="2838"/>
      </w:tblGrid>
      <w:tr w:rsidR="001C0031" w:rsidRPr="00B50AD7" w14:paraId="034C4867" w14:textId="77777777" w:rsidTr="00D97715">
        <w:trPr>
          <w:cantSplit/>
          <w:trHeight w:val="817"/>
          <w:tblHeader/>
        </w:trPr>
        <w:tc>
          <w:tcPr>
            <w:tcW w:w="1646" w:type="pct"/>
            <w:gridSpan w:val="2"/>
            <w:shd w:val="clear" w:color="auto" w:fill="00B050"/>
            <w:vAlign w:val="center"/>
            <w:hideMark/>
          </w:tcPr>
          <w:p w14:paraId="27F10178" w14:textId="547EE451" w:rsidR="00482081" w:rsidRPr="00B50AD7" w:rsidRDefault="005C73D4" w:rsidP="005C73D4">
            <w:pPr>
              <w:spacing w:after="0" w:line="240" w:lineRule="auto"/>
              <w:jc w:val="both"/>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V</w:t>
            </w:r>
            <w:r w:rsidRPr="005C73D4">
              <w:rPr>
                <w:rFonts w:ascii="Garamond" w:eastAsia="Times New Roman" w:hAnsi="Garamond" w:cstheme="minorHAnsi"/>
                <w:b/>
                <w:bCs/>
                <w:color w:val="FFFFFF"/>
                <w:lang w:eastAsia="it-IT"/>
              </w:rPr>
              <w:t xml:space="preserve">erifica </w:t>
            </w:r>
            <w:r w:rsidRPr="005C73D4">
              <w:rPr>
                <w:rFonts w:ascii="Garamond" w:eastAsia="Times New Roman" w:hAnsi="Garamond" w:cstheme="minorHAnsi"/>
                <w:b/>
                <w:bCs/>
                <w:i/>
                <w:iCs/>
                <w:color w:val="FFFFFF"/>
                <w:lang w:eastAsia="it-IT"/>
              </w:rPr>
              <w:t>desk</w:t>
            </w:r>
            <w:r w:rsidRPr="005C73D4">
              <w:rPr>
                <w:rFonts w:ascii="Garamond" w:eastAsia="Times New Roman" w:hAnsi="Garamond" w:cstheme="minorHAnsi"/>
                <w:b/>
                <w:bCs/>
                <w:color w:val="FFFFFF"/>
                <w:lang w:eastAsia="it-IT"/>
              </w:rPr>
              <w:t xml:space="preserve"> amministrativo-contabile delle spese rendicontate per mezzo delle opzioni di semplificazione dei costi (</w:t>
            </w:r>
            <w:r>
              <w:rPr>
                <w:rFonts w:ascii="Garamond" w:eastAsia="Times New Roman" w:hAnsi="Garamond" w:cstheme="minorHAnsi"/>
                <w:b/>
                <w:bCs/>
                <w:color w:val="FFFFFF"/>
                <w:lang w:eastAsia="it-IT"/>
              </w:rPr>
              <w:t>OSC</w:t>
            </w:r>
            <w:r w:rsidRPr="005C73D4">
              <w:rPr>
                <w:rFonts w:ascii="Garamond" w:eastAsia="Times New Roman" w:hAnsi="Garamond" w:cstheme="minorHAnsi"/>
                <w:b/>
                <w:bCs/>
                <w:color w:val="FFFFFF"/>
                <w:lang w:eastAsia="it-IT"/>
              </w:rPr>
              <w:t>)</w:t>
            </w:r>
          </w:p>
        </w:tc>
        <w:tc>
          <w:tcPr>
            <w:tcW w:w="216" w:type="pct"/>
            <w:shd w:val="clear" w:color="auto" w:fill="00B050"/>
            <w:vAlign w:val="center"/>
            <w:hideMark/>
          </w:tcPr>
          <w:p w14:paraId="63D2308F" w14:textId="77777777" w:rsidR="00482081" w:rsidRPr="00B50AD7" w:rsidRDefault="00482081"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42" w:type="pct"/>
            <w:shd w:val="clear" w:color="auto" w:fill="00B050"/>
            <w:vAlign w:val="center"/>
            <w:hideMark/>
          </w:tcPr>
          <w:p w14:paraId="119DC13B" w14:textId="77777777" w:rsidR="00482081" w:rsidRPr="00B50AD7" w:rsidRDefault="00482081"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21" w:type="pct"/>
            <w:shd w:val="clear" w:color="auto" w:fill="00B050"/>
            <w:vAlign w:val="center"/>
            <w:hideMark/>
          </w:tcPr>
          <w:p w14:paraId="6C0AC1C2" w14:textId="77777777" w:rsidR="00482081" w:rsidRPr="00B50AD7" w:rsidRDefault="00482081"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57" w:type="pct"/>
            <w:shd w:val="clear" w:color="auto" w:fill="00B050"/>
            <w:vAlign w:val="center"/>
            <w:hideMark/>
          </w:tcPr>
          <w:p w14:paraId="73B81AB2" w14:textId="073D3AA5" w:rsidR="00482081" w:rsidRPr="00B50AD7" w:rsidRDefault="00223D47" w:rsidP="004F0E45">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w:t>
            </w:r>
            <w:r w:rsidR="00482081" w:rsidRPr="00B50AD7">
              <w:rPr>
                <w:rFonts w:ascii="Garamond" w:eastAsia="Times New Roman" w:hAnsi="Garamond" w:cstheme="minorHAnsi"/>
                <w:b/>
                <w:bCs/>
                <w:color w:val="FFFFFF"/>
                <w:lang w:eastAsia="it-IT"/>
              </w:rPr>
              <w:br/>
              <w:t>documenti</w:t>
            </w:r>
            <w:r w:rsidR="00482081" w:rsidRPr="00B50AD7">
              <w:rPr>
                <w:rFonts w:ascii="Garamond" w:eastAsia="Times New Roman" w:hAnsi="Garamond" w:cstheme="minorHAnsi"/>
                <w:b/>
                <w:bCs/>
                <w:color w:val="FFFFFF"/>
                <w:lang w:eastAsia="it-IT"/>
              </w:rPr>
              <w:br/>
            </w:r>
            <w:r w:rsidR="00D91942">
              <w:rPr>
                <w:rFonts w:ascii="Garamond" w:eastAsia="Times New Roman" w:hAnsi="Garamond" w:cstheme="minorHAnsi"/>
                <w:b/>
                <w:bCs/>
                <w:color w:val="FFFFFF"/>
                <w:lang w:eastAsia="it-IT"/>
              </w:rPr>
              <w:t>verificati</w:t>
            </w:r>
          </w:p>
        </w:tc>
        <w:tc>
          <w:tcPr>
            <w:tcW w:w="982" w:type="pct"/>
            <w:shd w:val="clear" w:color="auto" w:fill="00B050"/>
            <w:vAlign w:val="center"/>
            <w:hideMark/>
          </w:tcPr>
          <w:p w14:paraId="78E51C2A" w14:textId="77777777" w:rsidR="00482081" w:rsidRPr="00B50AD7" w:rsidRDefault="00482081" w:rsidP="004F0E45">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936" w:type="pct"/>
            <w:shd w:val="clear" w:color="auto" w:fill="92D050"/>
            <w:vAlign w:val="center"/>
          </w:tcPr>
          <w:p w14:paraId="4541AB0F" w14:textId="5D45234B" w:rsidR="00482081" w:rsidRPr="008F151A" w:rsidRDefault="00482081" w:rsidP="00E246A9">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sidR="00693026">
              <w:rPr>
                <w:rStyle w:val="Rimandonotaapidipagina"/>
                <w:rFonts w:ascii="Garamond" w:eastAsia="Times New Roman" w:hAnsi="Garamond" w:cstheme="minorHAnsi"/>
                <w:b/>
                <w:bCs/>
                <w:lang w:eastAsia="it-IT"/>
              </w:rPr>
              <w:footnoteReference w:id="1"/>
            </w:r>
          </w:p>
        </w:tc>
      </w:tr>
      <w:tr w:rsidR="00E36CFD" w:rsidRPr="00B50AD7" w14:paraId="1B0F19A9" w14:textId="77777777" w:rsidTr="00D97715">
        <w:trPr>
          <w:trHeight w:val="419"/>
        </w:trPr>
        <w:tc>
          <w:tcPr>
            <w:tcW w:w="154" w:type="pct"/>
            <w:shd w:val="clear" w:color="auto" w:fill="92D050"/>
            <w:vAlign w:val="center"/>
            <w:hideMark/>
          </w:tcPr>
          <w:p w14:paraId="4E343433" w14:textId="52FF7168" w:rsidR="00E36CFD" w:rsidRPr="00B50AD7" w:rsidRDefault="00485ED6" w:rsidP="004F0E45">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846" w:type="pct"/>
            <w:gridSpan w:val="7"/>
            <w:shd w:val="clear" w:color="auto" w:fill="92D050"/>
            <w:vAlign w:val="center"/>
            <w:hideMark/>
          </w:tcPr>
          <w:p w14:paraId="3D059AC4" w14:textId="3BFAD443" w:rsidR="00E36CFD" w:rsidRPr="00B50AD7" w:rsidRDefault="00B53407" w:rsidP="004F0E45">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 xml:space="preserve">Punti di verifica </w:t>
            </w:r>
            <w:r w:rsidR="00920F1C">
              <w:rPr>
                <w:rFonts w:ascii="Garamond" w:eastAsia="Times New Roman" w:hAnsi="Garamond" w:cs="Times New Roman"/>
                <w:b/>
                <w:bCs/>
                <w:lang w:eastAsia="it-IT"/>
              </w:rPr>
              <w:t>generali</w:t>
            </w:r>
          </w:p>
        </w:tc>
      </w:tr>
      <w:tr w:rsidR="001C0031" w:rsidRPr="00B50AD7" w14:paraId="54E8D481" w14:textId="77777777" w:rsidTr="001A2A54">
        <w:trPr>
          <w:trHeight w:val="986"/>
        </w:trPr>
        <w:tc>
          <w:tcPr>
            <w:tcW w:w="154" w:type="pct"/>
            <w:shd w:val="clear" w:color="auto" w:fill="auto"/>
            <w:vAlign w:val="center"/>
          </w:tcPr>
          <w:p w14:paraId="61CC432F" w14:textId="3BE73D55" w:rsidR="00760C41" w:rsidRPr="00B50AD7" w:rsidRDefault="00485ED6" w:rsidP="004F0E4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92" w:type="pct"/>
            <w:shd w:val="clear" w:color="auto" w:fill="auto"/>
            <w:vAlign w:val="center"/>
          </w:tcPr>
          <w:p w14:paraId="743A49B2" w14:textId="61E47955" w:rsidR="00760C41" w:rsidRPr="00454A0B" w:rsidRDefault="003E7346" w:rsidP="003E7346">
            <w:pPr>
              <w:spacing w:after="0" w:line="240" w:lineRule="auto"/>
              <w:jc w:val="both"/>
              <w:rPr>
                <w:rFonts w:ascii="Garamond" w:eastAsia="Times New Roman" w:hAnsi="Garamond" w:cs="Times New Roman"/>
                <w:color w:val="000000"/>
                <w:lang w:eastAsia="it-IT"/>
              </w:rPr>
            </w:pPr>
            <w:r w:rsidRPr="00454A0B">
              <w:rPr>
                <w:rFonts w:ascii="Garamond" w:eastAsia="Times New Roman" w:hAnsi="Garamond" w:cs="Times New Roman"/>
                <w:color w:val="000000"/>
                <w:lang w:eastAsia="it-IT"/>
              </w:rPr>
              <w:t xml:space="preserve">L'OSC prescelta rientra in una delle tipologie previste dall'art. </w:t>
            </w:r>
            <w:r w:rsidR="00BF19B1" w:rsidRPr="00454A0B">
              <w:rPr>
                <w:rFonts w:ascii="Garamond" w:eastAsia="Times New Roman" w:hAnsi="Garamond" w:cs="Times New Roman"/>
                <w:color w:val="000000"/>
                <w:lang w:eastAsia="it-IT"/>
              </w:rPr>
              <w:t>53</w:t>
            </w:r>
            <w:r w:rsidRPr="00454A0B">
              <w:rPr>
                <w:rFonts w:ascii="Garamond" w:eastAsia="Times New Roman" w:hAnsi="Garamond" w:cs="Times New Roman"/>
                <w:color w:val="000000"/>
                <w:lang w:eastAsia="it-IT"/>
              </w:rPr>
              <w:t xml:space="preserve"> </w:t>
            </w:r>
            <w:r w:rsidR="006720ED" w:rsidRPr="00454A0B">
              <w:rPr>
                <w:rFonts w:ascii="Garamond" w:eastAsia="Times New Roman" w:hAnsi="Garamond" w:cs="Times New Roman"/>
                <w:bCs/>
                <w:color w:val="000000"/>
                <w:lang w:eastAsia="it-IT"/>
              </w:rPr>
              <w:t>del Regolamento (UE) 2021</w:t>
            </w:r>
            <w:r w:rsidR="00C81219" w:rsidRPr="00454A0B">
              <w:rPr>
                <w:rFonts w:ascii="Garamond" w:eastAsia="Times New Roman" w:hAnsi="Garamond" w:cs="Times New Roman"/>
                <w:bCs/>
                <w:color w:val="000000"/>
                <w:lang w:eastAsia="it-IT"/>
              </w:rPr>
              <w:t>/1060</w:t>
            </w:r>
            <w:r w:rsidR="00B279A0" w:rsidRPr="00454A0B">
              <w:rPr>
                <w:rStyle w:val="Rimandonotaapidipagina"/>
                <w:rFonts w:ascii="Garamond" w:eastAsia="Times New Roman" w:hAnsi="Garamond" w:cs="Times New Roman"/>
                <w:bCs/>
                <w:color w:val="000000"/>
                <w:lang w:eastAsia="it-IT"/>
              </w:rPr>
              <w:footnoteReference w:id="2"/>
            </w:r>
            <w:r w:rsidR="006720ED" w:rsidRPr="00454A0B">
              <w:rPr>
                <w:rFonts w:ascii="Garamond" w:eastAsia="Times New Roman" w:hAnsi="Garamond" w:cs="Times New Roman"/>
                <w:bCs/>
                <w:color w:val="000000"/>
                <w:lang w:eastAsia="it-IT"/>
              </w:rPr>
              <w:t>?</w:t>
            </w:r>
          </w:p>
        </w:tc>
        <w:tc>
          <w:tcPr>
            <w:tcW w:w="216" w:type="pct"/>
            <w:shd w:val="clear" w:color="auto" w:fill="auto"/>
            <w:vAlign w:val="center"/>
          </w:tcPr>
          <w:p w14:paraId="7B2A39E1" w14:textId="77777777" w:rsidR="00760C41" w:rsidRPr="00B50AD7" w:rsidRDefault="00760C41" w:rsidP="004F0E45">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1DFB75A2" w14:textId="77777777" w:rsidR="00760C41" w:rsidRPr="00B50AD7" w:rsidRDefault="00760C41" w:rsidP="004F0E45">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52DC9C4C" w14:textId="77777777" w:rsidR="00760C41" w:rsidRPr="00B50AD7" w:rsidRDefault="00760C41" w:rsidP="004F0E45">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7464DE48" w14:textId="77777777" w:rsidR="00760C41" w:rsidRPr="00B50AD7" w:rsidRDefault="00760C41" w:rsidP="004F0E45">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5CB065B8" w14:textId="77777777" w:rsidR="00760C41" w:rsidRPr="00B50AD7" w:rsidRDefault="00760C41" w:rsidP="004F0E45">
            <w:pPr>
              <w:spacing w:after="0" w:line="240" w:lineRule="auto"/>
              <w:rPr>
                <w:rFonts w:ascii="Garamond" w:eastAsia="Times New Roman" w:hAnsi="Garamond" w:cs="Times New Roman"/>
                <w:b/>
                <w:bCs/>
                <w:color w:val="000000"/>
                <w:lang w:eastAsia="it-IT"/>
              </w:rPr>
            </w:pPr>
          </w:p>
        </w:tc>
        <w:tc>
          <w:tcPr>
            <w:tcW w:w="936" w:type="pct"/>
            <w:vAlign w:val="center"/>
          </w:tcPr>
          <w:p w14:paraId="4DD27E27" w14:textId="56E00B56" w:rsidR="00C23312" w:rsidRPr="00B31B9D" w:rsidRDefault="00B31B9D" w:rsidP="00B31B9D">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C23312" w:rsidRPr="00B31B9D">
              <w:rPr>
                <w:rFonts w:ascii="Garamond" w:eastAsia="Times New Roman" w:hAnsi="Garamond" w:cs="Times New Roman"/>
                <w:color w:val="000000"/>
                <w:lang w:eastAsia="it-IT"/>
              </w:rPr>
              <w:t>Scheda progetto;</w:t>
            </w:r>
          </w:p>
          <w:p w14:paraId="763B1D88" w14:textId="18B7FD65" w:rsidR="00760C41" w:rsidRPr="00B31B9D" w:rsidRDefault="00B31B9D" w:rsidP="00B31B9D">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7072A2" w:rsidRPr="00B31B9D">
              <w:rPr>
                <w:rFonts w:ascii="Garamond" w:eastAsia="Times New Roman" w:hAnsi="Garamond" w:cs="Times New Roman"/>
                <w:color w:val="000000"/>
                <w:lang w:eastAsia="it-IT"/>
              </w:rPr>
              <w:t>M</w:t>
            </w:r>
            <w:r w:rsidR="00083B7B" w:rsidRPr="00B31B9D">
              <w:rPr>
                <w:rFonts w:ascii="Garamond" w:eastAsia="Times New Roman" w:hAnsi="Garamond" w:cs="Times New Roman"/>
                <w:color w:val="000000"/>
                <w:lang w:eastAsia="it-IT"/>
              </w:rPr>
              <w:t>etodologia utilizzata per definire l</w:t>
            </w:r>
            <w:r w:rsidR="00C23312" w:rsidRPr="00B31B9D">
              <w:rPr>
                <w:rFonts w:ascii="Garamond" w:eastAsia="Times New Roman" w:hAnsi="Garamond" w:cs="Times New Roman"/>
                <w:color w:val="000000"/>
                <w:lang w:eastAsia="it-IT"/>
              </w:rPr>
              <w:t>’OSC</w:t>
            </w:r>
          </w:p>
        </w:tc>
      </w:tr>
      <w:tr w:rsidR="001C0031" w:rsidRPr="00B50AD7" w14:paraId="1A244780" w14:textId="77777777" w:rsidTr="001A2A54">
        <w:trPr>
          <w:trHeight w:val="834"/>
        </w:trPr>
        <w:tc>
          <w:tcPr>
            <w:tcW w:w="154" w:type="pct"/>
            <w:shd w:val="clear" w:color="auto" w:fill="auto"/>
            <w:vAlign w:val="center"/>
          </w:tcPr>
          <w:p w14:paraId="6F4418FA" w14:textId="6B0BAB84" w:rsidR="00F217C5" w:rsidRDefault="00485ED6" w:rsidP="004F0E4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92" w:type="pct"/>
            <w:shd w:val="clear" w:color="auto" w:fill="auto"/>
            <w:vAlign w:val="center"/>
          </w:tcPr>
          <w:p w14:paraId="227F26EF" w14:textId="61D9340C" w:rsidR="00F217C5" w:rsidRPr="00454A0B" w:rsidRDefault="00AE05EF" w:rsidP="00370394">
            <w:pPr>
              <w:spacing w:after="0" w:line="240" w:lineRule="auto"/>
              <w:jc w:val="both"/>
              <w:rPr>
                <w:rFonts w:ascii="Garamond" w:eastAsia="Times New Roman" w:hAnsi="Garamond" w:cs="Times New Roman"/>
                <w:color w:val="000000"/>
                <w:lang w:eastAsia="it-IT"/>
              </w:rPr>
            </w:pPr>
            <w:r w:rsidRPr="00454A0B">
              <w:rPr>
                <w:rFonts w:ascii="Garamond" w:eastAsia="Times New Roman" w:hAnsi="Garamond" w:cs="Times New Roman"/>
                <w:color w:val="000000"/>
                <w:lang w:eastAsia="it-IT"/>
              </w:rPr>
              <w:t xml:space="preserve">L’OSC prescelta è </w:t>
            </w:r>
            <w:r w:rsidR="008C0D04" w:rsidRPr="00454A0B">
              <w:rPr>
                <w:rFonts w:ascii="Garamond" w:eastAsia="Times New Roman" w:hAnsi="Garamond" w:cs="Times New Roman"/>
                <w:color w:val="000000"/>
                <w:lang w:eastAsia="it-IT"/>
              </w:rPr>
              <w:t>stat</w:t>
            </w:r>
            <w:r w:rsidRPr="00454A0B">
              <w:rPr>
                <w:rFonts w:ascii="Garamond" w:eastAsia="Times New Roman" w:hAnsi="Garamond" w:cs="Times New Roman"/>
                <w:color w:val="000000"/>
                <w:lang w:eastAsia="it-IT"/>
              </w:rPr>
              <w:t>a</w:t>
            </w:r>
            <w:r w:rsidR="008C0D04" w:rsidRPr="00454A0B">
              <w:rPr>
                <w:rFonts w:ascii="Garamond" w:eastAsia="Times New Roman" w:hAnsi="Garamond" w:cs="Times New Roman"/>
                <w:color w:val="000000"/>
                <w:lang w:eastAsia="it-IT"/>
              </w:rPr>
              <w:t xml:space="preserve"> stabilit</w:t>
            </w:r>
            <w:r w:rsidRPr="00454A0B">
              <w:rPr>
                <w:rFonts w:ascii="Garamond" w:eastAsia="Times New Roman" w:hAnsi="Garamond" w:cs="Times New Roman"/>
                <w:color w:val="000000"/>
                <w:lang w:eastAsia="it-IT"/>
              </w:rPr>
              <w:t>a</w:t>
            </w:r>
            <w:r w:rsidR="008C0D04" w:rsidRPr="00454A0B">
              <w:rPr>
                <w:rFonts w:ascii="Garamond" w:eastAsia="Times New Roman" w:hAnsi="Garamond" w:cs="Times New Roman"/>
                <w:color w:val="000000"/>
                <w:lang w:eastAsia="it-IT"/>
              </w:rPr>
              <w:t xml:space="preserve"> nelle modalità prescritte dall’art. 53, comma </w:t>
            </w:r>
            <w:r w:rsidR="00890F5A" w:rsidRPr="00454A0B">
              <w:rPr>
                <w:rFonts w:ascii="Garamond" w:eastAsia="Times New Roman" w:hAnsi="Garamond" w:cs="Times New Roman"/>
                <w:color w:val="000000"/>
                <w:lang w:eastAsia="it-IT"/>
              </w:rPr>
              <w:t>3, lett. a), b), c), d), e) del Reg. (UE) 2021</w:t>
            </w:r>
            <w:r w:rsidR="00BA063E" w:rsidRPr="00454A0B">
              <w:rPr>
                <w:rFonts w:ascii="Garamond" w:eastAsia="Times New Roman" w:hAnsi="Garamond" w:cs="Times New Roman"/>
                <w:color w:val="000000"/>
                <w:lang w:eastAsia="it-IT"/>
              </w:rPr>
              <w:t>/1060</w:t>
            </w:r>
            <w:r w:rsidR="008F61B4" w:rsidRPr="00454A0B">
              <w:rPr>
                <w:rStyle w:val="Rimandonotaapidipagina"/>
                <w:rFonts w:ascii="Garamond" w:eastAsia="Times New Roman" w:hAnsi="Garamond" w:cs="Times New Roman"/>
                <w:color w:val="000000"/>
                <w:lang w:eastAsia="it-IT"/>
              </w:rPr>
              <w:footnoteReference w:id="3"/>
            </w:r>
            <w:r w:rsidR="00890F5A" w:rsidRPr="00454A0B">
              <w:rPr>
                <w:rFonts w:ascii="Garamond" w:eastAsia="Times New Roman" w:hAnsi="Garamond" w:cs="Times New Roman"/>
                <w:color w:val="000000"/>
                <w:lang w:eastAsia="it-IT"/>
              </w:rPr>
              <w:t>?</w:t>
            </w:r>
          </w:p>
        </w:tc>
        <w:tc>
          <w:tcPr>
            <w:tcW w:w="216" w:type="pct"/>
            <w:shd w:val="clear" w:color="auto" w:fill="auto"/>
            <w:vAlign w:val="center"/>
          </w:tcPr>
          <w:p w14:paraId="030558E6" w14:textId="77777777" w:rsidR="00F217C5" w:rsidRPr="00B50AD7" w:rsidRDefault="00F217C5" w:rsidP="004F0E45">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7F301A43" w14:textId="77777777" w:rsidR="00F217C5" w:rsidRPr="00B50AD7" w:rsidRDefault="00F217C5" w:rsidP="004F0E45">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736C6AB5" w14:textId="77777777" w:rsidR="00F217C5" w:rsidRPr="00B50AD7" w:rsidRDefault="00F217C5" w:rsidP="004F0E45">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2146A7F4" w14:textId="77777777" w:rsidR="00F217C5" w:rsidRPr="00B50AD7" w:rsidRDefault="00F217C5" w:rsidP="004F0E45">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2EA5FB68" w14:textId="77777777" w:rsidR="00F217C5" w:rsidRPr="00B50AD7" w:rsidRDefault="00F217C5" w:rsidP="004F0E45">
            <w:pPr>
              <w:spacing w:after="0" w:line="240" w:lineRule="auto"/>
              <w:rPr>
                <w:rFonts w:ascii="Garamond" w:eastAsia="Times New Roman" w:hAnsi="Garamond" w:cs="Times New Roman"/>
                <w:b/>
                <w:bCs/>
                <w:color w:val="000000"/>
                <w:lang w:eastAsia="it-IT"/>
              </w:rPr>
            </w:pPr>
          </w:p>
        </w:tc>
        <w:tc>
          <w:tcPr>
            <w:tcW w:w="936" w:type="pct"/>
            <w:vAlign w:val="center"/>
          </w:tcPr>
          <w:p w14:paraId="325B59DC" w14:textId="1EA72E9E" w:rsidR="00C23312" w:rsidRPr="00B31B9D" w:rsidRDefault="00B31B9D" w:rsidP="00B31B9D">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C23312" w:rsidRPr="00B31B9D">
              <w:rPr>
                <w:rFonts w:ascii="Garamond" w:eastAsia="Times New Roman" w:hAnsi="Garamond" w:cs="Times New Roman"/>
                <w:color w:val="000000"/>
                <w:lang w:eastAsia="it-IT"/>
              </w:rPr>
              <w:t>Scheda progetto;</w:t>
            </w:r>
          </w:p>
          <w:p w14:paraId="30AA8E5D" w14:textId="7633D61C" w:rsidR="00F217C5" w:rsidRPr="00B31B9D" w:rsidRDefault="00B31B9D" w:rsidP="00B31B9D">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M</w:t>
            </w:r>
            <w:r w:rsidR="00083B7B" w:rsidRPr="00B31B9D">
              <w:rPr>
                <w:rFonts w:ascii="Garamond" w:eastAsia="Times New Roman" w:hAnsi="Garamond" w:cs="Times New Roman"/>
                <w:color w:val="000000"/>
                <w:lang w:eastAsia="it-IT"/>
              </w:rPr>
              <w:t>etodologia utilizzata per definire l</w:t>
            </w:r>
            <w:r w:rsidR="00C23312" w:rsidRPr="00B31B9D">
              <w:rPr>
                <w:rFonts w:ascii="Garamond" w:eastAsia="Times New Roman" w:hAnsi="Garamond" w:cs="Times New Roman"/>
                <w:color w:val="000000"/>
                <w:lang w:eastAsia="it-IT"/>
              </w:rPr>
              <w:t>’OSC</w:t>
            </w:r>
          </w:p>
        </w:tc>
      </w:tr>
      <w:tr w:rsidR="00B405F9" w:rsidRPr="00B50AD7" w14:paraId="6BB2AA27" w14:textId="77777777" w:rsidTr="001A2A54">
        <w:trPr>
          <w:trHeight w:val="844"/>
        </w:trPr>
        <w:tc>
          <w:tcPr>
            <w:tcW w:w="154" w:type="pct"/>
            <w:shd w:val="clear" w:color="auto" w:fill="auto"/>
            <w:vAlign w:val="center"/>
          </w:tcPr>
          <w:p w14:paraId="40C4A5EC" w14:textId="0F8CF874" w:rsidR="00B405F9" w:rsidRDefault="00485ED6" w:rsidP="00B405F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92" w:type="pct"/>
            <w:shd w:val="clear" w:color="auto" w:fill="auto"/>
            <w:vAlign w:val="center"/>
          </w:tcPr>
          <w:p w14:paraId="531E2400" w14:textId="6F872AF9" w:rsidR="00B405F9" w:rsidRPr="00454A0B" w:rsidRDefault="00B405F9" w:rsidP="00B405F9">
            <w:pPr>
              <w:spacing w:after="0" w:line="240" w:lineRule="auto"/>
              <w:jc w:val="both"/>
              <w:rPr>
                <w:rFonts w:ascii="Garamond" w:eastAsia="Times New Roman" w:hAnsi="Garamond" w:cs="Times New Roman"/>
                <w:color w:val="000000"/>
                <w:lang w:eastAsia="it-IT"/>
              </w:rPr>
            </w:pPr>
            <w:r w:rsidRPr="00454A0B">
              <w:rPr>
                <w:rFonts w:ascii="Garamond" w:eastAsia="Times New Roman" w:hAnsi="Garamond" w:cs="Times New Roman"/>
                <w:color w:val="000000"/>
                <w:lang w:eastAsia="it-IT"/>
              </w:rPr>
              <w:t xml:space="preserve">Nel caso sia stata definita una metodologia </w:t>
            </w:r>
            <w:r w:rsidRPr="00454A0B">
              <w:rPr>
                <w:rFonts w:ascii="Garamond" w:eastAsia="Times New Roman" w:hAnsi="Garamond" w:cs="Times New Roman"/>
                <w:i/>
                <w:iCs/>
                <w:color w:val="000000"/>
                <w:lang w:eastAsia="it-IT"/>
              </w:rPr>
              <w:t>ex ante</w:t>
            </w:r>
            <w:r w:rsidRPr="00454A0B">
              <w:rPr>
                <w:rFonts w:ascii="Garamond" w:eastAsia="Times New Roman" w:hAnsi="Garamond" w:cs="Times New Roman"/>
                <w:color w:val="000000"/>
                <w:lang w:eastAsia="it-IT"/>
              </w:rPr>
              <w:t xml:space="preserve">, questa </w:t>
            </w:r>
            <w:r w:rsidR="00D772E8" w:rsidRPr="00454A0B">
              <w:rPr>
                <w:rFonts w:ascii="Garamond" w:eastAsia="Times New Roman" w:hAnsi="Garamond" w:cs="Times New Roman"/>
                <w:color w:val="000000"/>
                <w:lang w:eastAsia="it-IT"/>
              </w:rPr>
              <w:t xml:space="preserve">si basa su </w:t>
            </w:r>
            <w:r w:rsidR="00853006" w:rsidRPr="00454A0B">
              <w:rPr>
                <w:rFonts w:ascii="Garamond" w:eastAsia="Times New Roman" w:hAnsi="Garamond" w:cs="Times New Roman"/>
                <w:color w:val="000000"/>
                <w:lang w:eastAsia="it-IT"/>
              </w:rPr>
              <w:t>un metodo di calcolo giusto, equo e verificabile</w:t>
            </w:r>
            <w:r w:rsidR="00853006" w:rsidRPr="00454A0B">
              <w:rPr>
                <w:rStyle w:val="Rimandonotaapidipagina"/>
                <w:rFonts w:ascii="Garamond" w:eastAsia="Times New Roman" w:hAnsi="Garamond" w:cs="Times New Roman"/>
                <w:color w:val="000000"/>
                <w:lang w:eastAsia="it-IT"/>
              </w:rPr>
              <w:footnoteReference w:id="4"/>
            </w:r>
            <w:r w:rsidR="000A6697" w:rsidRPr="00454A0B">
              <w:rPr>
                <w:rFonts w:ascii="Garamond" w:eastAsia="Times New Roman" w:hAnsi="Garamond" w:cs="Times New Roman"/>
                <w:color w:val="000000"/>
                <w:lang w:eastAsia="it-IT"/>
              </w:rPr>
              <w:t xml:space="preserve"> ed è adeguatamente documentata</w:t>
            </w:r>
            <w:r w:rsidR="000A6697" w:rsidRPr="00454A0B">
              <w:rPr>
                <w:rStyle w:val="Rimandonotaapidipagina"/>
                <w:rFonts w:ascii="Garamond" w:eastAsia="Times New Roman" w:hAnsi="Garamond" w:cs="Times New Roman"/>
                <w:color w:val="000000"/>
                <w:lang w:eastAsia="it-IT"/>
              </w:rPr>
              <w:footnoteReference w:id="5"/>
            </w:r>
            <w:r w:rsidR="000A6697" w:rsidRPr="00454A0B">
              <w:rPr>
                <w:rFonts w:ascii="Garamond" w:eastAsia="Times New Roman" w:hAnsi="Garamond" w:cs="Times New Roman"/>
                <w:color w:val="000000"/>
                <w:lang w:eastAsia="it-IT"/>
              </w:rPr>
              <w:t>?</w:t>
            </w:r>
            <w:r w:rsidRPr="00454A0B">
              <w:rPr>
                <w:rFonts w:ascii="Garamond" w:eastAsia="Times New Roman" w:hAnsi="Garamond" w:cs="Times New Roman"/>
                <w:color w:val="000000"/>
                <w:lang w:eastAsia="it-IT"/>
              </w:rPr>
              <w:t xml:space="preserve"> </w:t>
            </w:r>
          </w:p>
        </w:tc>
        <w:tc>
          <w:tcPr>
            <w:tcW w:w="216" w:type="pct"/>
            <w:shd w:val="clear" w:color="auto" w:fill="auto"/>
            <w:vAlign w:val="center"/>
          </w:tcPr>
          <w:p w14:paraId="465808F7"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3A5CB3F6"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1170C21B"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2DD34234"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1C9F87CE"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936" w:type="pct"/>
            <w:vAlign w:val="center"/>
          </w:tcPr>
          <w:p w14:paraId="2F29A52E" w14:textId="623B7002" w:rsidR="00B405F9" w:rsidRPr="00B31B9D" w:rsidRDefault="00B31B9D" w:rsidP="00B31B9D">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C23312" w:rsidRPr="00B31B9D">
              <w:rPr>
                <w:rFonts w:ascii="Garamond" w:eastAsia="Times New Roman" w:hAnsi="Garamond" w:cs="Times New Roman"/>
                <w:color w:val="000000"/>
                <w:lang w:eastAsia="it-IT"/>
              </w:rPr>
              <w:t>M</w:t>
            </w:r>
            <w:r w:rsidR="00083B7B" w:rsidRPr="00B31B9D">
              <w:rPr>
                <w:rFonts w:ascii="Garamond" w:eastAsia="Times New Roman" w:hAnsi="Garamond" w:cs="Times New Roman"/>
                <w:color w:val="000000"/>
                <w:lang w:eastAsia="it-IT"/>
              </w:rPr>
              <w:t xml:space="preserve">etodologia utilizzata per definire </w:t>
            </w:r>
            <w:r w:rsidR="00C23312" w:rsidRPr="00B31B9D">
              <w:rPr>
                <w:rFonts w:ascii="Garamond" w:eastAsia="Times New Roman" w:hAnsi="Garamond" w:cs="Times New Roman"/>
                <w:color w:val="000000"/>
                <w:lang w:eastAsia="it-IT"/>
              </w:rPr>
              <w:t>l’OSC</w:t>
            </w:r>
          </w:p>
        </w:tc>
      </w:tr>
      <w:tr w:rsidR="00B405F9" w:rsidRPr="00B50AD7" w14:paraId="5C7D691C" w14:textId="77777777" w:rsidTr="00D97715">
        <w:trPr>
          <w:trHeight w:val="333"/>
        </w:trPr>
        <w:tc>
          <w:tcPr>
            <w:tcW w:w="154" w:type="pct"/>
            <w:shd w:val="clear" w:color="auto" w:fill="92D050"/>
            <w:vAlign w:val="center"/>
            <w:hideMark/>
          </w:tcPr>
          <w:p w14:paraId="3B6A3E31" w14:textId="683C74BC" w:rsidR="00B405F9" w:rsidRPr="00B50AD7" w:rsidRDefault="00485ED6" w:rsidP="00B405F9">
            <w:pPr>
              <w:spacing w:after="0" w:line="240" w:lineRule="auto"/>
              <w:jc w:val="center"/>
              <w:rPr>
                <w:rFonts w:ascii="Garamond" w:eastAsia="Times New Roman" w:hAnsi="Garamond" w:cs="Times New Roman"/>
                <w:b/>
                <w:bCs/>
                <w:lang w:eastAsia="it-IT"/>
              </w:rPr>
            </w:pPr>
            <w:bookmarkStart w:id="0" w:name="_Hlk77783425"/>
            <w:r>
              <w:rPr>
                <w:rFonts w:ascii="Garamond" w:eastAsia="Times New Roman" w:hAnsi="Garamond" w:cs="Times New Roman"/>
                <w:b/>
                <w:bCs/>
                <w:lang w:eastAsia="it-IT"/>
              </w:rPr>
              <w:t>B</w:t>
            </w:r>
          </w:p>
        </w:tc>
        <w:tc>
          <w:tcPr>
            <w:tcW w:w="4846" w:type="pct"/>
            <w:gridSpan w:val="7"/>
            <w:shd w:val="clear" w:color="auto" w:fill="92D050"/>
            <w:vAlign w:val="center"/>
            <w:hideMark/>
          </w:tcPr>
          <w:p w14:paraId="4AC0AB6E" w14:textId="16B8BE37" w:rsidR="00B405F9" w:rsidRPr="00B50AD7" w:rsidRDefault="00B66080" w:rsidP="00B405F9">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 xml:space="preserve">Punti di verifica </w:t>
            </w:r>
            <w:r w:rsidR="00FE27CB">
              <w:rPr>
                <w:rFonts w:ascii="Garamond" w:eastAsia="Times New Roman" w:hAnsi="Garamond" w:cs="Times New Roman"/>
                <w:b/>
                <w:bCs/>
                <w:lang w:eastAsia="it-IT"/>
              </w:rPr>
              <w:t xml:space="preserve">per </w:t>
            </w:r>
            <w:r w:rsidR="002D45AB">
              <w:rPr>
                <w:rFonts w:ascii="Garamond" w:eastAsia="Times New Roman" w:hAnsi="Garamond" w:cs="Times New Roman"/>
                <w:b/>
                <w:bCs/>
                <w:lang w:eastAsia="it-IT"/>
              </w:rPr>
              <w:t>le Unità di costo standard</w:t>
            </w:r>
          </w:p>
        </w:tc>
      </w:tr>
      <w:bookmarkEnd w:id="0"/>
      <w:tr w:rsidR="00B405F9" w:rsidRPr="00B50AD7" w14:paraId="2343E089" w14:textId="77777777" w:rsidTr="001A2A54">
        <w:trPr>
          <w:trHeight w:val="781"/>
        </w:trPr>
        <w:tc>
          <w:tcPr>
            <w:tcW w:w="154" w:type="pct"/>
            <w:shd w:val="clear" w:color="auto" w:fill="auto"/>
            <w:vAlign w:val="center"/>
          </w:tcPr>
          <w:p w14:paraId="1F7406E7" w14:textId="035068C3" w:rsidR="00B405F9" w:rsidRDefault="00485ED6" w:rsidP="00B405F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92" w:type="pct"/>
            <w:shd w:val="clear" w:color="auto" w:fill="auto"/>
            <w:vAlign w:val="center"/>
          </w:tcPr>
          <w:p w14:paraId="41398623" w14:textId="2194AC6B" w:rsidR="00B405F9" w:rsidRDefault="00F7293A" w:rsidP="006340C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la documentazione</w:t>
            </w:r>
            <w:r w:rsidR="0076125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attestante l’individuazione </w:t>
            </w:r>
            <w:r w:rsidR="00525EA4">
              <w:rPr>
                <w:rFonts w:ascii="Garamond" w:eastAsia="Times New Roman" w:hAnsi="Garamond" w:cs="Times New Roman"/>
                <w:color w:val="000000"/>
                <w:lang w:eastAsia="it-IT"/>
              </w:rPr>
              <w:t xml:space="preserve">dei </w:t>
            </w:r>
            <w:r w:rsidR="00525EA4" w:rsidRPr="00525EA4">
              <w:rPr>
                <w:rFonts w:ascii="Garamond" w:eastAsia="Times New Roman" w:hAnsi="Garamond" w:cs="Times New Roman"/>
                <w:color w:val="000000"/>
                <w:lang w:eastAsia="it-IT"/>
              </w:rPr>
              <w:t xml:space="preserve">risultati conseguiti o </w:t>
            </w:r>
            <w:r w:rsidR="006340C8">
              <w:rPr>
                <w:rFonts w:ascii="Garamond" w:eastAsia="Times New Roman" w:hAnsi="Garamond" w:cs="Times New Roman"/>
                <w:color w:val="000000"/>
                <w:lang w:eastAsia="it-IT"/>
              </w:rPr>
              <w:t>dell’</w:t>
            </w:r>
            <w:r w:rsidR="00525EA4" w:rsidRPr="00525EA4">
              <w:rPr>
                <w:rFonts w:ascii="Garamond" w:eastAsia="Times New Roman" w:hAnsi="Garamond" w:cs="Times New Roman"/>
                <w:color w:val="000000"/>
                <w:lang w:eastAsia="it-IT"/>
              </w:rPr>
              <w:t>output realizzato</w:t>
            </w:r>
            <w:r w:rsidR="006340C8">
              <w:rPr>
                <w:rFonts w:ascii="Garamond" w:eastAsia="Times New Roman" w:hAnsi="Garamond" w:cs="Times New Roman"/>
                <w:color w:val="000000"/>
                <w:lang w:eastAsia="it-IT"/>
              </w:rPr>
              <w:t xml:space="preserve">, </w:t>
            </w:r>
            <w:r w:rsidR="00F742A5" w:rsidRPr="00F742A5">
              <w:rPr>
                <w:rFonts w:ascii="Garamond" w:eastAsia="Times New Roman" w:hAnsi="Garamond" w:cs="Times New Roman"/>
                <w:color w:val="000000"/>
                <w:lang w:eastAsia="it-IT"/>
              </w:rPr>
              <w:t xml:space="preserve">o </w:t>
            </w:r>
            <w:r w:rsidR="00BE4706">
              <w:rPr>
                <w:rFonts w:ascii="Garamond" w:eastAsia="Times New Roman" w:hAnsi="Garamond" w:cs="Times New Roman"/>
                <w:color w:val="000000"/>
                <w:lang w:eastAsia="it-IT"/>
              </w:rPr>
              <w:t xml:space="preserve">comprovante </w:t>
            </w:r>
            <w:r w:rsidR="006340C8">
              <w:rPr>
                <w:rFonts w:ascii="Garamond" w:eastAsia="Times New Roman" w:hAnsi="Garamond" w:cs="Times New Roman"/>
                <w:color w:val="000000"/>
                <w:lang w:eastAsia="it-IT"/>
              </w:rPr>
              <w:t>entrambi</w:t>
            </w:r>
            <w:r w:rsidR="005736DB">
              <w:rPr>
                <w:rFonts w:ascii="Garamond" w:eastAsia="Times New Roman" w:hAnsi="Garamond" w:cs="Times New Roman"/>
                <w:color w:val="000000"/>
                <w:lang w:eastAsia="it-IT"/>
              </w:rPr>
              <w:t>?</w:t>
            </w:r>
          </w:p>
        </w:tc>
        <w:tc>
          <w:tcPr>
            <w:tcW w:w="216" w:type="pct"/>
            <w:shd w:val="clear" w:color="auto" w:fill="auto"/>
            <w:vAlign w:val="center"/>
          </w:tcPr>
          <w:p w14:paraId="56DBCBB9"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49235E56"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6CE6D2D2"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6E32AA5D"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28BE972A"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936" w:type="pct"/>
            <w:vAlign w:val="center"/>
          </w:tcPr>
          <w:p w14:paraId="20D2A19D" w14:textId="77777777" w:rsidR="006C0A91" w:rsidRDefault="006C0A91" w:rsidP="00D47F73">
            <w:pPr>
              <w:spacing w:after="0" w:line="240" w:lineRule="auto"/>
              <w:rPr>
                <w:rFonts w:ascii="Garamond" w:eastAsia="Times New Roman" w:hAnsi="Garamond" w:cs="Times New Roman"/>
                <w:color w:val="000000"/>
                <w:lang w:eastAsia="it-IT"/>
              </w:rPr>
            </w:pPr>
          </w:p>
          <w:p w14:paraId="32B9F6F5" w14:textId="55272A5A" w:rsidR="00B405F9" w:rsidRPr="00D47F73" w:rsidRDefault="00D47F73" w:rsidP="00D47F73">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F127F9" w:rsidRPr="00D47F73">
              <w:rPr>
                <w:rFonts w:ascii="Garamond" w:eastAsia="Times New Roman" w:hAnsi="Garamond" w:cs="Times New Roman"/>
                <w:color w:val="000000"/>
                <w:lang w:eastAsia="it-IT"/>
              </w:rPr>
              <w:t xml:space="preserve">Documentazione attestante i risultati conseguiti o </w:t>
            </w:r>
            <w:r w:rsidR="001C5A2C" w:rsidRPr="00D47F73">
              <w:rPr>
                <w:rFonts w:ascii="Garamond" w:eastAsia="Times New Roman" w:hAnsi="Garamond" w:cs="Times New Roman"/>
                <w:color w:val="000000"/>
                <w:lang w:eastAsia="it-IT"/>
              </w:rPr>
              <w:t>le ore effettivamente lavorate</w:t>
            </w:r>
            <w:r w:rsidR="00256A2D" w:rsidRPr="00D47F73">
              <w:rPr>
                <w:rFonts w:ascii="Garamond" w:eastAsia="Times New Roman" w:hAnsi="Garamond" w:cs="Times New Roman"/>
                <w:color w:val="000000"/>
                <w:lang w:eastAsia="it-IT"/>
              </w:rPr>
              <w:t>/prodotte</w:t>
            </w:r>
          </w:p>
        </w:tc>
      </w:tr>
      <w:tr w:rsidR="00B405F9" w:rsidRPr="00B50AD7" w14:paraId="0F308E6D" w14:textId="77777777" w:rsidTr="001A2A54">
        <w:trPr>
          <w:trHeight w:val="582"/>
        </w:trPr>
        <w:tc>
          <w:tcPr>
            <w:tcW w:w="154" w:type="pct"/>
            <w:shd w:val="clear" w:color="auto" w:fill="auto"/>
            <w:vAlign w:val="center"/>
          </w:tcPr>
          <w:p w14:paraId="551FB644" w14:textId="3D4A05FA" w:rsidR="00B405F9" w:rsidRDefault="00485ED6" w:rsidP="008520D5">
            <w:pPr>
              <w:pStyle w:val="Paragrafoelenco"/>
              <w:ind w:left="273" w:hanging="306"/>
              <w:rPr>
                <w:lang w:eastAsia="it-IT"/>
              </w:rPr>
            </w:pPr>
            <w:r>
              <w:rPr>
                <w:lang w:eastAsia="it-IT"/>
              </w:rPr>
              <w:t>3</w:t>
            </w:r>
          </w:p>
        </w:tc>
        <w:tc>
          <w:tcPr>
            <w:tcW w:w="1492" w:type="pct"/>
            <w:shd w:val="clear" w:color="auto" w:fill="auto"/>
            <w:vAlign w:val="center"/>
          </w:tcPr>
          <w:p w14:paraId="3CA029E4" w14:textId="00E5CF3D" w:rsidR="00B405F9" w:rsidRDefault="002A690F" w:rsidP="002A690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L’importo rendicontato </w:t>
            </w:r>
            <w:r w:rsidR="00921B74">
              <w:rPr>
                <w:rFonts w:ascii="Garamond" w:eastAsia="Times New Roman" w:hAnsi="Garamond" w:cs="Times New Roman"/>
                <w:color w:val="000000"/>
                <w:lang w:eastAsia="it-IT"/>
              </w:rPr>
              <w:t xml:space="preserve">è in linea con la corretta </w:t>
            </w:r>
            <w:r w:rsidR="00256A2D">
              <w:rPr>
                <w:rFonts w:ascii="Garamond" w:eastAsia="Times New Roman" w:hAnsi="Garamond" w:cs="Times New Roman"/>
                <w:color w:val="000000"/>
                <w:lang w:eastAsia="it-IT"/>
              </w:rPr>
              <w:t xml:space="preserve">applicazione dell’unità di costo standard rispetto </w:t>
            </w:r>
            <w:r w:rsidR="008500D1">
              <w:rPr>
                <w:rFonts w:ascii="Garamond" w:eastAsia="Times New Roman" w:hAnsi="Garamond" w:cs="Times New Roman"/>
                <w:color w:val="000000"/>
                <w:lang w:eastAsia="it-IT"/>
              </w:rPr>
              <w:t>ai risultati conseguiti o all’output realizzato</w:t>
            </w:r>
            <w:r w:rsidR="00921B74">
              <w:rPr>
                <w:rFonts w:ascii="Garamond" w:eastAsia="Times New Roman" w:hAnsi="Garamond" w:cs="Times New Roman"/>
                <w:color w:val="000000"/>
                <w:lang w:eastAsia="it-IT"/>
              </w:rPr>
              <w:t xml:space="preserve">? </w:t>
            </w:r>
          </w:p>
        </w:tc>
        <w:tc>
          <w:tcPr>
            <w:tcW w:w="216" w:type="pct"/>
            <w:shd w:val="clear" w:color="auto" w:fill="auto"/>
            <w:vAlign w:val="center"/>
          </w:tcPr>
          <w:p w14:paraId="6773EBD7"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652B730A"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4EE941F7"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659479D1"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0C124602" w14:textId="77777777" w:rsidR="00B405F9" w:rsidRPr="00B50AD7" w:rsidRDefault="00B405F9" w:rsidP="00B405F9">
            <w:pPr>
              <w:spacing w:after="0" w:line="240" w:lineRule="auto"/>
              <w:rPr>
                <w:rFonts w:ascii="Garamond" w:eastAsia="Times New Roman" w:hAnsi="Garamond" w:cs="Times New Roman"/>
                <w:b/>
                <w:bCs/>
                <w:color w:val="000000"/>
                <w:lang w:eastAsia="it-IT"/>
              </w:rPr>
            </w:pPr>
          </w:p>
        </w:tc>
        <w:tc>
          <w:tcPr>
            <w:tcW w:w="936" w:type="pct"/>
            <w:vAlign w:val="center"/>
          </w:tcPr>
          <w:p w14:paraId="2C82C950" w14:textId="736232E1" w:rsidR="00CA1145" w:rsidRDefault="00CA1145" w:rsidP="00D47F73">
            <w:pPr>
              <w:spacing w:after="0" w:line="240" w:lineRule="auto"/>
              <w:rPr>
                <w:rFonts w:ascii="Garamond" w:eastAsia="Times New Roman" w:hAnsi="Garamond" w:cs="Times New Roman"/>
                <w:color w:val="000000"/>
                <w:lang w:eastAsia="it-IT"/>
              </w:rPr>
            </w:pPr>
            <w:r w:rsidRPr="00CA1145">
              <w:rPr>
                <w:rFonts w:ascii="Garamond" w:eastAsia="Times New Roman" w:hAnsi="Garamond" w:cs="Times New Roman"/>
                <w:color w:val="000000"/>
                <w:lang w:eastAsia="it-IT"/>
              </w:rPr>
              <w:t>Verificare la corretta applicazione dell</w:t>
            </w:r>
            <w:r w:rsidR="00725795">
              <w:rPr>
                <w:rFonts w:ascii="Garamond" w:eastAsia="Times New Roman" w:hAnsi="Garamond" w:cs="Times New Roman"/>
                <w:color w:val="000000"/>
                <w:lang w:eastAsia="it-IT"/>
              </w:rPr>
              <w:t>’UCS</w:t>
            </w:r>
            <w:r w:rsidRPr="00CA1145">
              <w:rPr>
                <w:rFonts w:ascii="Garamond" w:eastAsia="Times New Roman" w:hAnsi="Garamond" w:cs="Times New Roman"/>
                <w:color w:val="000000"/>
                <w:lang w:eastAsia="it-IT"/>
              </w:rPr>
              <w:t xml:space="preserve"> </w:t>
            </w:r>
            <w:r w:rsidR="00F1783B">
              <w:rPr>
                <w:rFonts w:ascii="Garamond" w:eastAsia="Times New Roman" w:hAnsi="Garamond" w:cs="Times New Roman"/>
                <w:color w:val="000000"/>
                <w:lang w:eastAsia="it-IT"/>
              </w:rPr>
              <w:t>identificato</w:t>
            </w:r>
            <w:r w:rsidRPr="00CA1145">
              <w:rPr>
                <w:rFonts w:ascii="Garamond" w:eastAsia="Times New Roman" w:hAnsi="Garamond" w:cs="Times New Roman"/>
                <w:color w:val="000000"/>
                <w:lang w:eastAsia="it-IT"/>
              </w:rPr>
              <w:t xml:space="preserve"> rispetto alle spese rendicontate. Ad esempio: nel caso di Unità di costo standard per la voce di costo “personale”, verificare se il costo rendicontato sia in linea con la moltiplicazione del UCS per le ore lavorate; nel caso di un UCS legato al costo orario di un percorso formativo, verificare che il costo rendicontato sia in linea con la moltiplicazione dell’UCS con le ore realizzate. </w:t>
            </w:r>
          </w:p>
          <w:p w14:paraId="35E64166" w14:textId="77777777" w:rsidR="00CA1145" w:rsidRDefault="00CA1145" w:rsidP="00D47F73">
            <w:pPr>
              <w:spacing w:after="0" w:line="240" w:lineRule="auto"/>
              <w:rPr>
                <w:rFonts w:ascii="Garamond" w:eastAsia="Times New Roman" w:hAnsi="Garamond" w:cs="Times New Roman"/>
                <w:color w:val="000000"/>
                <w:lang w:eastAsia="it-IT"/>
              </w:rPr>
            </w:pPr>
          </w:p>
          <w:p w14:paraId="3414709A" w14:textId="70BA0C9D" w:rsidR="00B405F9" w:rsidRPr="00D47F73" w:rsidRDefault="00D47F73" w:rsidP="00D47F73">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AE6B29" w:rsidRPr="00D47F73">
              <w:rPr>
                <w:rFonts w:ascii="Garamond" w:eastAsia="Times New Roman" w:hAnsi="Garamond" w:cs="Times New Roman"/>
                <w:color w:val="000000"/>
                <w:lang w:eastAsia="it-IT"/>
              </w:rPr>
              <w:t>Documentazione attestante i risultati conseguiti o le ore effettivamente lavorate/prodotte</w:t>
            </w:r>
          </w:p>
        </w:tc>
      </w:tr>
      <w:tr w:rsidR="00B676E4" w:rsidRPr="00B50AD7" w14:paraId="7A92DCC5" w14:textId="77777777" w:rsidTr="00D97715">
        <w:trPr>
          <w:trHeight w:val="582"/>
        </w:trPr>
        <w:tc>
          <w:tcPr>
            <w:tcW w:w="154" w:type="pct"/>
            <w:shd w:val="clear" w:color="auto" w:fill="92D050"/>
            <w:vAlign w:val="center"/>
          </w:tcPr>
          <w:p w14:paraId="38AD77A7" w14:textId="77777777" w:rsidR="00B676E4" w:rsidRDefault="00B676E4" w:rsidP="00B676E4">
            <w:pPr>
              <w:pStyle w:val="Paragrafoelenco"/>
              <w:ind w:left="273" w:hanging="306"/>
              <w:jc w:val="center"/>
              <w:rPr>
                <w:rFonts w:ascii="Garamond" w:hAnsi="Garamond"/>
                <w:b/>
                <w:bCs/>
                <w:lang w:eastAsia="it-IT"/>
              </w:rPr>
            </w:pPr>
          </w:p>
          <w:p w14:paraId="4E0C945F" w14:textId="7A1CA9DD" w:rsidR="00B676E4" w:rsidRPr="00B676E4" w:rsidRDefault="00B676E4" w:rsidP="00B676E4">
            <w:pPr>
              <w:pStyle w:val="Paragrafoelenco"/>
              <w:ind w:left="273" w:hanging="306"/>
              <w:jc w:val="center"/>
              <w:rPr>
                <w:rFonts w:ascii="Garamond" w:hAnsi="Garamond"/>
                <w:b/>
                <w:bCs/>
                <w:lang w:eastAsia="it-IT"/>
              </w:rPr>
            </w:pPr>
            <w:r w:rsidRPr="00B676E4">
              <w:rPr>
                <w:rFonts w:ascii="Garamond" w:hAnsi="Garamond"/>
                <w:b/>
                <w:bCs/>
                <w:lang w:eastAsia="it-IT"/>
              </w:rPr>
              <w:t>C</w:t>
            </w:r>
          </w:p>
        </w:tc>
        <w:tc>
          <w:tcPr>
            <w:tcW w:w="4846" w:type="pct"/>
            <w:gridSpan w:val="7"/>
            <w:shd w:val="clear" w:color="auto" w:fill="92D050"/>
            <w:vAlign w:val="center"/>
          </w:tcPr>
          <w:p w14:paraId="1BD94E05" w14:textId="394FE60F" w:rsidR="00B676E4" w:rsidRPr="00B676E4" w:rsidRDefault="00B676E4" w:rsidP="00D47F73">
            <w:pPr>
              <w:spacing w:after="0" w:line="240" w:lineRule="auto"/>
              <w:rPr>
                <w:rFonts w:ascii="Garamond" w:eastAsia="Times New Roman" w:hAnsi="Garamond" w:cs="Times New Roman"/>
                <w:b/>
                <w:bCs/>
                <w:color w:val="000000"/>
                <w:lang w:eastAsia="it-IT"/>
              </w:rPr>
            </w:pPr>
            <w:r w:rsidRPr="00B676E4">
              <w:rPr>
                <w:rFonts w:ascii="Garamond" w:eastAsia="Times New Roman" w:hAnsi="Garamond" w:cs="Times New Roman"/>
                <w:b/>
                <w:bCs/>
                <w:color w:val="000000"/>
                <w:lang w:eastAsia="it-IT"/>
              </w:rPr>
              <w:t>Costi diretti per il personale in materia di sovvenzioni</w:t>
            </w:r>
          </w:p>
        </w:tc>
      </w:tr>
      <w:tr w:rsidR="00B676E4" w:rsidRPr="00B50AD7" w14:paraId="43DEFBF1" w14:textId="77777777" w:rsidTr="001A2A54">
        <w:trPr>
          <w:trHeight w:val="582"/>
        </w:trPr>
        <w:tc>
          <w:tcPr>
            <w:tcW w:w="154" w:type="pct"/>
            <w:shd w:val="clear" w:color="auto" w:fill="auto"/>
            <w:vAlign w:val="center"/>
          </w:tcPr>
          <w:p w14:paraId="7D37EBE7" w14:textId="289335AF" w:rsidR="00B676E4" w:rsidRPr="00201781" w:rsidRDefault="00B676E4" w:rsidP="00201781">
            <w:pPr>
              <w:pStyle w:val="Paragrafoelenco"/>
              <w:ind w:left="273" w:hanging="306"/>
              <w:jc w:val="center"/>
              <w:rPr>
                <w:rFonts w:ascii="Garamond" w:hAnsi="Garamond"/>
                <w:lang w:eastAsia="it-IT"/>
              </w:rPr>
            </w:pPr>
            <w:r w:rsidRPr="00201781">
              <w:rPr>
                <w:rFonts w:ascii="Garamond" w:hAnsi="Garamond"/>
                <w:lang w:eastAsia="it-IT"/>
              </w:rPr>
              <w:t>1</w:t>
            </w:r>
          </w:p>
        </w:tc>
        <w:tc>
          <w:tcPr>
            <w:tcW w:w="1492" w:type="pct"/>
            <w:shd w:val="clear" w:color="auto" w:fill="auto"/>
            <w:vAlign w:val="center"/>
          </w:tcPr>
          <w:p w14:paraId="6561E9C9" w14:textId="23225DD9" w:rsidR="00B676E4" w:rsidRPr="00B676E4" w:rsidRDefault="00B676E4" w:rsidP="002A690F">
            <w:pPr>
              <w:spacing w:after="0" w:line="240" w:lineRule="auto"/>
              <w:jc w:val="both"/>
              <w:rPr>
                <w:rFonts w:ascii="Garamond" w:eastAsia="Times New Roman" w:hAnsi="Garamond" w:cs="Times New Roman"/>
                <w:color w:val="000000"/>
                <w:lang w:eastAsia="it-IT"/>
              </w:rPr>
            </w:pPr>
            <w:r w:rsidRPr="00B676E4">
              <w:rPr>
                <w:rFonts w:ascii="Garamond" w:hAnsi="Garamond"/>
              </w:rPr>
              <w:t>L</w:t>
            </w:r>
            <w:r w:rsidRPr="00B676E4">
              <w:rPr>
                <w:rFonts w:ascii="Garamond" w:hAnsi="Garamond" w:cstheme="minorHAnsi"/>
              </w:rPr>
              <w:t>a tariffa oraria applicata è stata correttamente calcolata dividendo i più recenti costi annui lordi del personale documentati per il tempo lavorativo standard pari a 1720 ore nel caso di personale a tempo pieno o ad una quota proporzionale di 1720 nel caso di personale a tempo parziale?</w:t>
            </w:r>
          </w:p>
        </w:tc>
        <w:tc>
          <w:tcPr>
            <w:tcW w:w="216" w:type="pct"/>
            <w:shd w:val="clear" w:color="auto" w:fill="auto"/>
            <w:vAlign w:val="center"/>
          </w:tcPr>
          <w:p w14:paraId="7852C15F"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19D1554C"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0EC1FAC9"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42BEB102"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28997837"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936" w:type="pct"/>
            <w:vAlign w:val="center"/>
          </w:tcPr>
          <w:p w14:paraId="65E62867" w14:textId="726FC179" w:rsidR="00B676E4" w:rsidRPr="00B676E4" w:rsidRDefault="00B676E4" w:rsidP="00B676E4">
            <w:pPr>
              <w:spacing w:after="0" w:line="240" w:lineRule="auto"/>
              <w:rPr>
                <w:rFonts w:ascii="Garamond" w:hAnsi="Garamond" w:cstheme="minorHAnsi"/>
              </w:rPr>
            </w:pPr>
            <w:r w:rsidRPr="009A6AB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676E4">
              <w:rPr>
                <w:rFonts w:ascii="Garamond" w:hAnsi="Garamond" w:cstheme="minorHAnsi"/>
              </w:rPr>
              <w:t>Prospetto di calcolo del costo orario</w:t>
            </w:r>
          </w:p>
          <w:p w14:paraId="22A58B55" w14:textId="6A3D4C98" w:rsidR="00B676E4" w:rsidRPr="00CA1145" w:rsidRDefault="00B676E4" w:rsidP="00B676E4">
            <w:pPr>
              <w:spacing w:after="0" w:line="240" w:lineRule="auto"/>
              <w:rPr>
                <w:rFonts w:ascii="Garamond" w:eastAsia="Times New Roman" w:hAnsi="Garamond" w:cs="Times New Roman"/>
                <w:color w:val="000000"/>
                <w:lang w:eastAsia="it-IT"/>
              </w:rPr>
            </w:pPr>
            <w:r w:rsidRPr="009A6AB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676E4">
              <w:rPr>
                <w:rFonts w:ascii="Garamond" w:hAnsi="Garamond" w:cstheme="minorHAnsi"/>
              </w:rPr>
              <w:t>Elenco dettagliato delle voci/componenti incluse ed escluse nel conteggio della retribuzione fissa mensile (estratte dal sistema contabile interno all'Ente) ai fini della determinazione del costo annuale lordo del dipendente (numeratore della base di calcolo)</w:t>
            </w:r>
          </w:p>
        </w:tc>
      </w:tr>
      <w:tr w:rsidR="00B676E4" w:rsidRPr="00B50AD7" w14:paraId="21C9B6FF" w14:textId="77777777" w:rsidTr="001A2A54">
        <w:trPr>
          <w:trHeight w:val="582"/>
        </w:trPr>
        <w:tc>
          <w:tcPr>
            <w:tcW w:w="154" w:type="pct"/>
            <w:shd w:val="clear" w:color="auto" w:fill="auto"/>
            <w:vAlign w:val="center"/>
          </w:tcPr>
          <w:p w14:paraId="5DD32ACA" w14:textId="0999042E" w:rsidR="00B676E4" w:rsidRPr="00201781" w:rsidRDefault="00201781" w:rsidP="00201781">
            <w:pPr>
              <w:pStyle w:val="Paragrafoelenco"/>
              <w:ind w:left="273" w:hanging="306"/>
              <w:jc w:val="center"/>
              <w:rPr>
                <w:rFonts w:ascii="Garamond" w:hAnsi="Garamond"/>
                <w:lang w:eastAsia="it-IT"/>
              </w:rPr>
            </w:pPr>
            <w:r w:rsidRPr="00201781">
              <w:rPr>
                <w:rFonts w:ascii="Garamond" w:hAnsi="Garamond"/>
                <w:lang w:eastAsia="it-IT"/>
              </w:rPr>
              <w:t>2</w:t>
            </w:r>
          </w:p>
        </w:tc>
        <w:tc>
          <w:tcPr>
            <w:tcW w:w="1492" w:type="pct"/>
            <w:shd w:val="clear" w:color="auto" w:fill="auto"/>
            <w:vAlign w:val="center"/>
          </w:tcPr>
          <w:p w14:paraId="091D657F" w14:textId="787DF7B0" w:rsidR="00B676E4" w:rsidRDefault="0020032E" w:rsidP="0020032E">
            <w:pPr>
              <w:spacing w:after="0" w:line="240" w:lineRule="auto"/>
              <w:jc w:val="both"/>
              <w:rPr>
                <w:rFonts w:ascii="Garamond" w:eastAsia="Times New Roman" w:hAnsi="Garamond" w:cs="Times New Roman"/>
                <w:color w:val="000000"/>
                <w:lang w:eastAsia="it-IT"/>
              </w:rPr>
            </w:pPr>
            <w:r w:rsidRPr="0020032E">
              <w:rPr>
                <w:rFonts w:ascii="Garamond" w:eastAsia="Times New Roman" w:hAnsi="Garamond" w:cs="Times New Roman"/>
                <w:color w:val="000000"/>
                <w:lang w:eastAsia="it-IT"/>
              </w:rPr>
              <w:t>È stata fornita - in occasione della prima rendicontazione di ciascun dipendente - la relativa documentazione amministrativo-contabile?</w:t>
            </w:r>
          </w:p>
        </w:tc>
        <w:tc>
          <w:tcPr>
            <w:tcW w:w="216" w:type="pct"/>
            <w:shd w:val="clear" w:color="auto" w:fill="auto"/>
            <w:vAlign w:val="center"/>
          </w:tcPr>
          <w:p w14:paraId="47CB7202"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62E18B65"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01AD8546"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78DE9143"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0D77B872" w14:textId="77777777" w:rsidR="00B676E4" w:rsidRPr="00B50AD7" w:rsidRDefault="00B676E4" w:rsidP="00B405F9">
            <w:pPr>
              <w:spacing w:after="0" w:line="240" w:lineRule="auto"/>
              <w:rPr>
                <w:rFonts w:ascii="Garamond" w:eastAsia="Times New Roman" w:hAnsi="Garamond" w:cs="Times New Roman"/>
                <w:b/>
                <w:bCs/>
                <w:color w:val="000000"/>
                <w:lang w:eastAsia="it-IT"/>
              </w:rPr>
            </w:pPr>
          </w:p>
        </w:tc>
        <w:tc>
          <w:tcPr>
            <w:tcW w:w="936" w:type="pct"/>
            <w:vAlign w:val="center"/>
          </w:tcPr>
          <w:p w14:paraId="574008C8" w14:textId="77777777" w:rsidR="0020032E" w:rsidRPr="0020032E" w:rsidRDefault="0020032E" w:rsidP="0020032E">
            <w:pPr>
              <w:spacing w:after="0" w:line="240" w:lineRule="auto"/>
              <w:rPr>
                <w:rFonts w:ascii="Garamond" w:eastAsia="Times New Roman" w:hAnsi="Garamond" w:cs="Times New Roman"/>
                <w:color w:val="000000"/>
                <w:lang w:eastAsia="it-IT"/>
              </w:rPr>
            </w:pPr>
            <w:r w:rsidRPr="0020032E">
              <w:rPr>
                <w:rFonts w:ascii="Garamond" w:eastAsia="Times New Roman" w:hAnsi="Garamond" w:cs="Times New Roman"/>
                <w:color w:val="000000"/>
                <w:lang w:eastAsia="it-IT"/>
              </w:rPr>
              <w:t>• Ordine di servizio;</w:t>
            </w:r>
          </w:p>
          <w:p w14:paraId="4E9DD2FF" w14:textId="764B36ED" w:rsidR="0020032E" w:rsidRPr="0020032E" w:rsidRDefault="0020032E" w:rsidP="0020032E">
            <w:pPr>
              <w:spacing w:after="0" w:line="240" w:lineRule="auto"/>
              <w:rPr>
                <w:rFonts w:ascii="Garamond" w:eastAsia="Times New Roman" w:hAnsi="Garamond" w:cs="Times New Roman"/>
                <w:color w:val="000000"/>
                <w:lang w:eastAsia="it-IT"/>
              </w:rPr>
            </w:pPr>
            <w:r w:rsidRPr="0020032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roofErr w:type="spellStart"/>
            <w:r w:rsidRPr="0020032E">
              <w:rPr>
                <w:rFonts w:ascii="Garamond" w:eastAsia="Times New Roman" w:hAnsi="Garamond" w:cs="Times New Roman"/>
                <w:color w:val="000000"/>
                <w:lang w:eastAsia="it-IT"/>
              </w:rPr>
              <w:t>Timesheet</w:t>
            </w:r>
            <w:proofErr w:type="spellEnd"/>
            <w:r w:rsidRPr="0020032E">
              <w:rPr>
                <w:rFonts w:ascii="Garamond" w:eastAsia="Times New Roman" w:hAnsi="Garamond" w:cs="Times New Roman"/>
                <w:color w:val="000000"/>
                <w:lang w:eastAsia="it-IT"/>
              </w:rPr>
              <w:t>;</w:t>
            </w:r>
          </w:p>
          <w:p w14:paraId="17B46186" w14:textId="628646EC" w:rsidR="0020032E" w:rsidRPr="0020032E" w:rsidRDefault="0020032E" w:rsidP="0020032E">
            <w:pPr>
              <w:spacing w:after="0" w:line="240" w:lineRule="auto"/>
              <w:rPr>
                <w:rFonts w:ascii="Garamond" w:eastAsia="Times New Roman" w:hAnsi="Garamond" w:cs="Times New Roman"/>
                <w:color w:val="000000"/>
                <w:lang w:eastAsia="it-IT"/>
              </w:rPr>
            </w:pPr>
            <w:r w:rsidRPr="0020032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20032E">
              <w:rPr>
                <w:rFonts w:ascii="Garamond" w:eastAsia="Times New Roman" w:hAnsi="Garamond" w:cs="Times New Roman"/>
                <w:color w:val="000000"/>
                <w:lang w:eastAsia="it-IT"/>
              </w:rPr>
              <w:t>Prospetto di rendicontazione complessiva delle spese personale interno;</w:t>
            </w:r>
          </w:p>
          <w:p w14:paraId="7E0DFFD5" w14:textId="5AE8EA34" w:rsidR="0020032E" w:rsidRPr="0020032E" w:rsidRDefault="0020032E" w:rsidP="0020032E">
            <w:pPr>
              <w:spacing w:after="0" w:line="240" w:lineRule="auto"/>
              <w:rPr>
                <w:rFonts w:ascii="Garamond" w:eastAsia="Times New Roman" w:hAnsi="Garamond" w:cs="Times New Roman"/>
                <w:color w:val="000000"/>
                <w:lang w:eastAsia="it-IT"/>
              </w:rPr>
            </w:pPr>
            <w:r w:rsidRPr="0020032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20032E">
              <w:rPr>
                <w:rFonts w:ascii="Garamond" w:eastAsia="Times New Roman" w:hAnsi="Garamond" w:cs="Times New Roman"/>
                <w:color w:val="000000"/>
                <w:lang w:eastAsia="it-IT"/>
              </w:rPr>
              <w:t>Prospetto di calcolo del costo orario per ciascuna risorsa impegnata sul progetto;</w:t>
            </w:r>
          </w:p>
          <w:p w14:paraId="44EBB69E" w14:textId="6E2EFF44" w:rsidR="00B676E4" w:rsidRPr="00CA1145" w:rsidRDefault="0020032E" w:rsidP="0020032E">
            <w:pPr>
              <w:spacing w:after="0" w:line="240" w:lineRule="auto"/>
              <w:rPr>
                <w:rFonts w:ascii="Garamond" w:eastAsia="Times New Roman" w:hAnsi="Garamond" w:cs="Times New Roman"/>
                <w:color w:val="000000"/>
                <w:lang w:eastAsia="it-IT"/>
              </w:rPr>
            </w:pPr>
            <w:r w:rsidRPr="0020032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20032E">
              <w:rPr>
                <w:rFonts w:ascii="Garamond" w:eastAsia="Times New Roman" w:hAnsi="Garamond" w:cs="Times New Roman"/>
                <w:color w:val="000000"/>
                <w:lang w:eastAsia="it-IT"/>
              </w:rPr>
              <w:t>Elenco dettagliato delle voci/componenti incluse ed escluse nel conteggio della retribuzione fissa mensile (estratte dal sistema contabile interno all'Ente) ai fini della determinazione del costo annuale lordo del dipendente (numeratore della base di calcolo)</w:t>
            </w:r>
          </w:p>
        </w:tc>
      </w:tr>
      <w:tr w:rsidR="00201781" w:rsidRPr="00B50AD7" w14:paraId="357BF71A" w14:textId="77777777" w:rsidTr="001A2A54">
        <w:trPr>
          <w:trHeight w:val="582"/>
        </w:trPr>
        <w:tc>
          <w:tcPr>
            <w:tcW w:w="154" w:type="pct"/>
            <w:shd w:val="clear" w:color="auto" w:fill="auto"/>
            <w:vAlign w:val="center"/>
          </w:tcPr>
          <w:p w14:paraId="68C6D82E" w14:textId="57F4CDC7" w:rsidR="00201781" w:rsidRPr="00201781" w:rsidRDefault="00201781" w:rsidP="00201781">
            <w:pPr>
              <w:pStyle w:val="Paragrafoelenco"/>
              <w:ind w:left="273" w:hanging="306"/>
              <w:jc w:val="center"/>
              <w:rPr>
                <w:rFonts w:ascii="Garamond" w:hAnsi="Garamond"/>
                <w:lang w:eastAsia="it-IT"/>
              </w:rPr>
            </w:pPr>
            <w:r>
              <w:rPr>
                <w:rFonts w:ascii="Garamond" w:hAnsi="Garamond"/>
                <w:lang w:eastAsia="it-IT"/>
              </w:rPr>
              <w:t>3</w:t>
            </w:r>
          </w:p>
        </w:tc>
        <w:tc>
          <w:tcPr>
            <w:tcW w:w="1492" w:type="pct"/>
            <w:shd w:val="clear" w:color="auto" w:fill="auto"/>
            <w:vAlign w:val="center"/>
          </w:tcPr>
          <w:p w14:paraId="2F60405E" w14:textId="773E7491" w:rsidR="00201781" w:rsidRPr="0020032E" w:rsidRDefault="00201781" w:rsidP="0020032E">
            <w:pPr>
              <w:spacing w:after="0" w:line="240" w:lineRule="auto"/>
              <w:jc w:val="both"/>
              <w:rPr>
                <w:rFonts w:ascii="Garamond" w:eastAsia="Times New Roman" w:hAnsi="Garamond" w:cs="Times New Roman"/>
                <w:color w:val="000000"/>
                <w:lang w:eastAsia="it-IT"/>
              </w:rPr>
            </w:pPr>
            <w:r w:rsidRPr="00201781">
              <w:rPr>
                <w:rFonts w:ascii="Garamond" w:eastAsia="Times New Roman" w:hAnsi="Garamond" w:cs="Times New Roman"/>
                <w:color w:val="000000"/>
                <w:lang w:eastAsia="it-IT"/>
              </w:rPr>
              <w:t>È stato verificato che il numero complessivo di ore finora dichiarate per specifica persona per un determinato anno non superi il numero di ore utilizzate per il calcolo della tariffa oraria applicata?</w:t>
            </w:r>
          </w:p>
        </w:tc>
        <w:tc>
          <w:tcPr>
            <w:tcW w:w="216" w:type="pct"/>
            <w:shd w:val="clear" w:color="auto" w:fill="auto"/>
            <w:vAlign w:val="center"/>
          </w:tcPr>
          <w:p w14:paraId="1A921FF5"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72E0AA41"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2FF07EEB"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3841C83A"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4EAB1E27"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936" w:type="pct"/>
            <w:vAlign w:val="center"/>
          </w:tcPr>
          <w:p w14:paraId="7CD8257D" w14:textId="58BBAC23" w:rsidR="00201781" w:rsidRPr="00201781" w:rsidRDefault="00201781" w:rsidP="00201781">
            <w:pPr>
              <w:spacing w:after="0" w:line="240" w:lineRule="auto"/>
              <w:rPr>
                <w:rFonts w:ascii="Garamond" w:eastAsia="Times New Roman" w:hAnsi="Garamond" w:cs="Times New Roman"/>
                <w:color w:val="000000"/>
                <w:lang w:eastAsia="it-IT"/>
              </w:rPr>
            </w:pPr>
            <w:r w:rsidRPr="0020178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201781">
              <w:rPr>
                <w:rFonts w:ascii="Garamond" w:eastAsia="Times New Roman" w:hAnsi="Garamond" w:cs="Times New Roman"/>
                <w:color w:val="000000"/>
                <w:lang w:eastAsia="it-IT"/>
              </w:rPr>
              <w:t>Prospetto di calcolo del costo orario</w:t>
            </w:r>
          </w:p>
          <w:p w14:paraId="15B0AA24" w14:textId="3171F108" w:rsidR="00201781" w:rsidRPr="0020032E" w:rsidRDefault="00201781" w:rsidP="00201781">
            <w:pPr>
              <w:spacing w:after="0" w:line="240" w:lineRule="auto"/>
              <w:rPr>
                <w:rFonts w:ascii="Garamond" w:eastAsia="Times New Roman" w:hAnsi="Garamond" w:cs="Times New Roman"/>
                <w:color w:val="000000"/>
                <w:lang w:eastAsia="it-IT"/>
              </w:rPr>
            </w:pPr>
            <w:r w:rsidRPr="0020178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roofErr w:type="spellStart"/>
            <w:r w:rsidRPr="00201781">
              <w:rPr>
                <w:rFonts w:ascii="Garamond" w:eastAsia="Times New Roman" w:hAnsi="Garamond" w:cs="Times New Roman"/>
                <w:color w:val="000000"/>
                <w:lang w:eastAsia="it-IT"/>
              </w:rPr>
              <w:t>Timesheet</w:t>
            </w:r>
            <w:proofErr w:type="spellEnd"/>
          </w:p>
        </w:tc>
      </w:tr>
      <w:tr w:rsidR="00201781" w:rsidRPr="00B50AD7" w14:paraId="0A08665C" w14:textId="77777777" w:rsidTr="001A2A54">
        <w:trPr>
          <w:trHeight w:val="582"/>
        </w:trPr>
        <w:tc>
          <w:tcPr>
            <w:tcW w:w="154" w:type="pct"/>
            <w:shd w:val="clear" w:color="auto" w:fill="auto"/>
            <w:vAlign w:val="center"/>
          </w:tcPr>
          <w:p w14:paraId="2D974B5C" w14:textId="7F4B7FA8" w:rsidR="00201781" w:rsidRDefault="00201781" w:rsidP="00201781">
            <w:pPr>
              <w:pStyle w:val="Paragrafoelenco"/>
              <w:ind w:left="273" w:hanging="306"/>
              <w:jc w:val="center"/>
              <w:rPr>
                <w:rFonts w:ascii="Garamond" w:hAnsi="Garamond"/>
                <w:lang w:eastAsia="it-IT"/>
              </w:rPr>
            </w:pPr>
            <w:r>
              <w:rPr>
                <w:rFonts w:ascii="Garamond" w:hAnsi="Garamond"/>
                <w:lang w:eastAsia="it-IT"/>
              </w:rPr>
              <w:t>4</w:t>
            </w:r>
          </w:p>
        </w:tc>
        <w:tc>
          <w:tcPr>
            <w:tcW w:w="1492" w:type="pct"/>
            <w:shd w:val="clear" w:color="auto" w:fill="auto"/>
            <w:vAlign w:val="center"/>
          </w:tcPr>
          <w:p w14:paraId="2032DC1E" w14:textId="4F8BBA77" w:rsidR="00201781" w:rsidRPr="00201781" w:rsidRDefault="00201781" w:rsidP="0020032E">
            <w:pPr>
              <w:spacing w:after="0" w:line="240" w:lineRule="auto"/>
              <w:jc w:val="both"/>
              <w:rPr>
                <w:rFonts w:ascii="Garamond" w:eastAsia="Times New Roman" w:hAnsi="Garamond" w:cs="Times New Roman"/>
                <w:color w:val="000000"/>
                <w:lang w:eastAsia="it-IT"/>
              </w:rPr>
            </w:pPr>
            <w:r w:rsidRPr="00201781">
              <w:rPr>
                <w:rFonts w:ascii="Garamond" w:eastAsia="Times New Roman" w:hAnsi="Garamond" w:cs="Times New Roman"/>
                <w:color w:val="000000"/>
                <w:lang w:eastAsia="it-IT"/>
              </w:rPr>
              <w:t xml:space="preserve">La spesa rendicontata è stata correttamente calcolata moltiplicando la tariffa oraria per le ore di lavoro sul progetto risultanti dal </w:t>
            </w:r>
            <w:proofErr w:type="spellStart"/>
            <w:r w:rsidRPr="00201781">
              <w:rPr>
                <w:rFonts w:ascii="Garamond" w:eastAsia="Times New Roman" w:hAnsi="Garamond" w:cs="Times New Roman"/>
                <w:i/>
                <w:iCs/>
                <w:color w:val="000000"/>
                <w:lang w:eastAsia="it-IT"/>
              </w:rPr>
              <w:t>timesheet</w:t>
            </w:r>
            <w:proofErr w:type="spellEnd"/>
            <w:r w:rsidRPr="00201781">
              <w:rPr>
                <w:rFonts w:ascii="Garamond" w:eastAsia="Times New Roman" w:hAnsi="Garamond" w:cs="Times New Roman"/>
                <w:color w:val="000000"/>
                <w:lang w:eastAsia="it-IT"/>
              </w:rPr>
              <w:t>?</w:t>
            </w:r>
          </w:p>
        </w:tc>
        <w:tc>
          <w:tcPr>
            <w:tcW w:w="216" w:type="pct"/>
            <w:shd w:val="clear" w:color="auto" w:fill="auto"/>
            <w:vAlign w:val="center"/>
          </w:tcPr>
          <w:p w14:paraId="5A33409D"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7B42BF71"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4AB74E48"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75430049"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266EF272" w14:textId="77777777" w:rsidR="00201781" w:rsidRPr="00B50AD7" w:rsidRDefault="00201781" w:rsidP="00B405F9">
            <w:pPr>
              <w:spacing w:after="0" w:line="240" w:lineRule="auto"/>
              <w:rPr>
                <w:rFonts w:ascii="Garamond" w:eastAsia="Times New Roman" w:hAnsi="Garamond" w:cs="Times New Roman"/>
                <w:b/>
                <w:bCs/>
                <w:color w:val="000000"/>
                <w:lang w:eastAsia="it-IT"/>
              </w:rPr>
            </w:pPr>
          </w:p>
        </w:tc>
        <w:tc>
          <w:tcPr>
            <w:tcW w:w="936" w:type="pct"/>
            <w:vAlign w:val="center"/>
          </w:tcPr>
          <w:p w14:paraId="10E667E9" w14:textId="5E1B2A75" w:rsidR="00A0677B" w:rsidRPr="00A0677B" w:rsidRDefault="00A0677B" w:rsidP="00A0677B">
            <w:pPr>
              <w:spacing w:after="0" w:line="240" w:lineRule="auto"/>
              <w:rPr>
                <w:rFonts w:ascii="Garamond" w:eastAsia="Times New Roman" w:hAnsi="Garamond" w:cs="Times New Roman"/>
                <w:color w:val="000000"/>
                <w:lang w:eastAsia="it-IT"/>
              </w:rPr>
            </w:pPr>
            <w:r w:rsidRPr="00A0677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0677B">
              <w:rPr>
                <w:rFonts w:ascii="Garamond" w:eastAsia="Times New Roman" w:hAnsi="Garamond" w:cs="Times New Roman"/>
                <w:color w:val="000000"/>
                <w:lang w:eastAsia="it-IT"/>
              </w:rPr>
              <w:t xml:space="preserve">Prospetto riepilogativo del costo del personale rendicontato </w:t>
            </w:r>
          </w:p>
          <w:p w14:paraId="722D1E52" w14:textId="422A716E" w:rsidR="00A0677B" w:rsidRPr="00A0677B" w:rsidRDefault="00A0677B" w:rsidP="00A0677B">
            <w:pPr>
              <w:spacing w:after="0" w:line="240" w:lineRule="auto"/>
              <w:rPr>
                <w:rFonts w:ascii="Garamond" w:eastAsia="Times New Roman" w:hAnsi="Garamond" w:cs="Times New Roman"/>
                <w:color w:val="000000"/>
                <w:lang w:eastAsia="it-IT"/>
              </w:rPr>
            </w:pPr>
            <w:r w:rsidRPr="00A0677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roofErr w:type="spellStart"/>
            <w:r w:rsidRPr="00A0677B">
              <w:rPr>
                <w:rFonts w:ascii="Garamond" w:eastAsia="Times New Roman" w:hAnsi="Garamond" w:cs="Times New Roman"/>
                <w:color w:val="000000"/>
                <w:lang w:eastAsia="it-IT"/>
              </w:rPr>
              <w:t>Timesheet</w:t>
            </w:r>
            <w:proofErr w:type="spellEnd"/>
          </w:p>
          <w:p w14:paraId="0957D80F" w14:textId="3263C805" w:rsidR="00201781" w:rsidRPr="00201781" w:rsidRDefault="00A0677B" w:rsidP="00A0677B">
            <w:pPr>
              <w:spacing w:after="0" w:line="240" w:lineRule="auto"/>
              <w:rPr>
                <w:rFonts w:ascii="Garamond" w:eastAsia="Times New Roman" w:hAnsi="Garamond" w:cs="Times New Roman"/>
                <w:color w:val="000000"/>
                <w:lang w:eastAsia="it-IT"/>
              </w:rPr>
            </w:pPr>
            <w:r w:rsidRPr="00A0677B">
              <w:rPr>
                <w:rFonts w:ascii="Garamond" w:eastAsia="Times New Roman" w:hAnsi="Garamond" w:cs="Times New Roman"/>
                <w:color w:val="000000"/>
                <w:lang w:eastAsia="it-IT"/>
              </w:rPr>
              <w:t>•</w:t>
            </w:r>
            <w:r w:rsidR="005A0209">
              <w:rPr>
                <w:rFonts w:ascii="Garamond" w:eastAsia="Times New Roman" w:hAnsi="Garamond" w:cs="Times New Roman"/>
                <w:color w:val="000000"/>
                <w:lang w:eastAsia="it-IT"/>
              </w:rPr>
              <w:t xml:space="preserve"> </w:t>
            </w:r>
            <w:r w:rsidRPr="00A0677B">
              <w:rPr>
                <w:rFonts w:ascii="Garamond" w:eastAsia="Times New Roman" w:hAnsi="Garamond" w:cs="Times New Roman"/>
                <w:color w:val="000000"/>
                <w:lang w:eastAsia="it-IT"/>
              </w:rPr>
              <w:t>Prospetto di calcolo del costo orario</w:t>
            </w:r>
          </w:p>
        </w:tc>
      </w:tr>
      <w:tr w:rsidR="009E4146" w:rsidRPr="00B50AD7" w14:paraId="3B6EEA9B" w14:textId="77777777" w:rsidTr="00D97715">
        <w:trPr>
          <w:trHeight w:val="411"/>
        </w:trPr>
        <w:tc>
          <w:tcPr>
            <w:tcW w:w="154" w:type="pct"/>
            <w:shd w:val="clear" w:color="auto" w:fill="92D050"/>
            <w:vAlign w:val="center"/>
          </w:tcPr>
          <w:p w14:paraId="26721D7C" w14:textId="52C5BDD6" w:rsidR="009E4146" w:rsidRPr="00BD54C5" w:rsidRDefault="00900112" w:rsidP="009E4146">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D</w:t>
            </w:r>
          </w:p>
        </w:tc>
        <w:tc>
          <w:tcPr>
            <w:tcW w:w="4846" w:type="pct"/>
            <w:gridSpan w:val="7"/>
            <w:shd w:val="clear" w:color="auto" w:fill="92D050"/>
            <w:vAlign w:val="center"/>
          </w:tcPr>
          <w:p w14:paraId="00C25CCE" w14:textId="3446ECE0" w:rsidR="009E4146" w:rsidRPr="00FA4C41" w:rsidRDefault="009E4146" w:rsidP="009E4146">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 xml:space="preserve">Punti di verifica per </w:t>
            </w:r>
            <w:r w:rsidR="00B97C92">
              <w:rPr>
                <w:rFonts w:ascii="Garamond" w:eastAsia="Times New Roman" w:hAnsi="Garamond" w:cs="Times New Roman"/>
                <w:b/>
                <w:bCs/>
                <w:lang w:eastAsia="it-IT"/>
              </w:rPr>
              <w:t>le somme forfettarie</w:t>
            </w:r>
          </w:p>
        </w:tc>
      </w:tr>
      <w:tr w:rsidR="009E4146" w:rsidRPr="00B50AD7" w14:paraId="5FB3133A" w14:textId="77777777" w:rsidTr="001A2A54">
        <w:trPr>
          <w:trHeight w:val="1142"/>
        </w:trPr>
        <w:tc>
          <w:tcPr>
            <w:tcW w:w="154" w:type="pct"/>
            <w:shd w:val="clear" w:color="auto" w:fill="auto"/>
            <w:vAlign w:val="center"/>
          </w:tcPr>
          <w:p w14:paraId="343A54CF" w14:textId="3DE6A1CB" w:rsidR="009E4146" w:rsidRDefault="00485ED6" w:rsidP="009E414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92" w:type="pct"/>
            <w:shd w:val="clear" w:color="auto" w:fill="auto"/>
            <w:vAlign w:val="center"/>
          </w:tcPr>
          <w:p w14:paraId="3CD468E2" w14:textId="47E86DB9" w:rsidR="009E4146" w:rsidRDefault="00B113DF" w:rsidP="0007689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w:t>
            </w:r>
            <w:r w:rsidR="00207779">
              <w:rPr>
                <w:rFonts w:ascii="Garamond" w:eastAsia="Times New Roman" w:hAnsi="Garamond" w:cs="Times New Roman"/>
                <w:color w:val="000000"/>
                <w:lang w:eastAsia="it-IT"/>
              </w:rPr>
              <w:t>la documentazione attestante</w:t>
            </w:r>
            <w:r>
              <w:rPr>
                <w:rFonts w:ascii="Garamond" w:eastAsia="Times New Roman" w:hAnsi="Garamond" w:cs="Times New Roman"/>
                <w:color w:val="000000"/>
                <w:lang w:eastAsia="it-IT"/>
              </w:rPr>
              <w:t xml:space="preserve"> in maniera </w:t>
            </w:r>
            <w:r w:rsidR="00420C1C">
              <w:rPr>
                <w:rFonts w:ascii="Garamond" w:eastAsia="Times New Roman" w:hAnsi="Garamond" w:cs="Times New Roman"/>
                <w:color w:val="000000"/>
                <w:lang w:eastAsia="it-IT"/>
              </w:rPr>
              <w:t>chiara</w:t>
            </w:r>
            <w:r>
              <w:rPr>
                <w:rFonts w:ascii="Garamond" w:eastAsia="Times New Roman" w:hAnsi="Garamond" w:cs="Times New Roman"/>
                <w:color w:val="000000"/>
                <w:lang w:eastAsia="it-IT"/>
              </w:rPr>
              <w:t xml:space="preserve"> e inequivocabile </w:t>
            </w:r>
            <w:r w:rsidR="00236F15">
              <w:rPr>
                <w:rFonts w:ascii="Garamond" w:eastAsia="Times New Roman" w:hAnsi="Garamond" w:cs="Times New Roman"/>
                <w:color w:val="000000"/>
                <w:lang w:eastAsia="it-IT"/>
              </w:rPr>
              <w:t xml:space="preserve">i </w:t>
            </w:r>
            <w:r w:rsidR="000C25E8">
              <w:rPr>
                <w:rFonts w:ascii="Garamond" w:eastAsia="Times New Roman" w:hAnsi="Garamond" w:cs="Times New Roman"/>
                <w:color w:val="000000"/>
                <w:lang w:eastAsia="it-IT"/>
              </w:rPr>
              <w:t xml:space="preserve">risultati conseguiti </w:t>
            </w:r>
            <w:r>
              <w:rPr>
                <w:rFonts w:ascii="Garamond" w:eastAsia="Times New Roman" w:hAnsi="Garamond" w:cs="Times New Roman"/>
                <w:color w:val="000000"/>
                <w:lang w:eastAsia="it-IT"/>
              </w:rPr>
              <w:t>a fronte de</w:t>
            </w:r>
            <w:r w:rsidR="00236F15">
              <w:rPr>
                <w:rFonts w:ascii="Garamond" w:eastAsia="Times New Roman" w:hAnsi="Garamond" w:cs="Times New Roman"/>
                <w:color w:val="000000"/>
                <w:lang w:eastAsia="it-IT"/>
              </w:rPr>
              <w:t>i</w:t>
            </w:r>
            <w:r>
              <w:rPr>
                <w:rFonts w:ascii="Garamond" w:eastAsia="Times New Roman" w:hAnsi="Garamond" w:cs="Times New Roman"/>
                <w:color w:val="000000"/>
                <w:lang w:eastAsia="it-IT"/>
              </w:rPr>
              <w:t xml:space="preserve"> quali </w:t>
            </w:r>
            <w:r w:rsidR="00420C1C">
              <w:rPr>
                <w:rFonts w:ascii="Garamond" w:eastAsia="Times New Roman" w:hAnsi="Garamond" w:cs="Times New Roman"/>
                <w:color w:val="000000"/>
                <w:lang w:eastAsia="it-IT"/>
              </w:rPr>
              <w:t>è prevista l’erogazione della somm</w:t>
            </w:r>
            <w:r w:rsidR="000F0A8F">
              <w:rPr>
                <w:rFonts w:ascii="Garamond" w:eastAsia="Times New Roman" w:hAnsi="Garamond" w:cs="Times New Roman"/>
                <w:color w:val="000000"/>
                <w:lang w:eastAsia="it-IT"/>
              </w:rPr>
              <w:t>a</w:t>
            </w:r>
            <w:r w:rsidR="00420C1C">
              <w:rPr>
                <w:rFonts w:ascii="Garamond" w:eastAsia="Times New Roman" w:hAnsi="Garamond" w:cs="Times New Roman"/>
                <w:color w:val="000000"/>
                <w:lang w:eastAsia="it-IT"/>
              </w:rPr>
              <w:t xml:space="preserve"> forfettari</w:t>
            </w:r>
            <w:r w:rsidR="000F0A8F">
              <w:rPr>
                <w:rFonts w:ascii="Garamond" w:eastAsia="Times New Roman" w:hAnsi="Garamond" w:cs="Times New Roman"/>
                <w:color w:val="000000"/>
                <w:lang w:eastAsia="it-IT"/>
              </w:rPr>
              <w:t>a</w:t>
            </w:r>
            <w:r w:rsidR="00420C1C">
              <w:rPr>
                <w:rFonts w:ascii="Garamond" w:eastAsia="Times New Roman" w:hAnsi="Garamond" w:cs="Times New Roman"/>
                <w:color w:val="000000"/>
                <w:lang w:eastAsia="it-IT"/>
              </w:rPr>
              <w:t>?</w:t>
            </w:r>
          </w:p>
        </w:tc>
        <w:tc>
          <w:tcPr>
            <w:tcW w:w="216" w:type="pct"/>
            <w:shd w:val="clear" w:color="auto" w:fill="auto"/>
            <w:vAlign w:val="center"/>
          </w:tcPr>
          <w:p w14:paraId="3BC87E38"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159EF533"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0E316A9D"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18D3CEA5"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10AB5FF8"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936" w:type="pct"/>
            <w:vAlign w:val="center"/>
          </w:tcPr>
          <w:p w14:paraId="198D6046" w14:textId="53D9C43C" w:rsidR="009E4146" w:rsidRPr="00FA4C41" w:rsidRDefault="009A6AB4" w:rsidP="009E4146">
            <w:pPr>
              <w:spacing w:after="0" w:line="240" w:lineRule="auto"/>
              <w:rPr>
                <w:rFonts w:ascii="Garamond" w:eastAsia="Times New Roman" w:hAnsi="Garamond" w:cs="Times New Roman"/>
                <w:color w:val="000000"/>
                <w:lang w:eastAsia="it-IT"/>
              </w:rPr>
            </w:pPr>
            <w:r w:rsidRPr="009A6AB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A6AB4">
              <w:rPr>
                <w:rFonts w:ascii="Garamond" w:eastAsia="Times New Roman" w:hAnsi="Garamond" w:cs="Times New Roman"/>
                <w:color w:val="000000"/>
                <w:lang w:eastAsia="it-IT"/>
              </w:rPr>
              <w:t>Documentazione attestante i risultati conseguiti</w:t>
            </w:r>
          </w:p>
        </w:tc>
      </w:tr>
      <w:tr w:rsidR="009E4146" w:rsidRPr="00B50AD7" w14:paraId="74E813DC" w14:textId="77777777" w:rsidTr="001A2A54">
        <w:trPr>
          <w:trHeight w:val="867"/>
        </w:trPr>
        <w:tc>
          <w:tcPr>
            <w:tcW w:w="154" w:type="pct"/>
            <w:shd w:val="clear" w:color="auto" w:fill="auto"/>
            <w:vAlign w:val="center"/>
          </w:tcPr>
          <w:p w14:paraId="22CFC912" w14:textId="066E2C3F" w:rsidR="009E4146" w:rsidRPr="00B50AD7" w:rsidRDefault="00485ED6" w:rsidP="009E414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92" w:type="pct"/>
            <w:shd w:val="clear" w:color="auto" w:fill="auto"/>
            <w:vAlign w:val="center"/>
          </w:tcPr>
          <w:p w14:paraId="18617B0D" w14:textId="746FB5FD" w:rsidR="009E4146" w:rsidRPr="00B50AD7" w:rsidRDefault="00B952A7" w:rsidP="00B952A7">
            <w:pPr>
              <w:spacing w:after="0" w:line="240" w:lineRule="auto"/>
              <w:jc w:val="both"/>
              <w:rPr>
                <w:rFonts w:ascii="Garamond" w:eastAsia="Times New Roman" w:hAnsi="Garamond" w:cs="Times New Roman"/>
                <w:color w:val="000000"/>
                <w:lang w:eastAsia="it-IT"/>
              </w:rPr>
            </w:pPr>
            <w:r w:rsidRPr="00696799">
              <w:rPr>
                <w:rFonts w:ascii="Garamond" w:eastAsia="Times New Roman" w:hAnsi="Garamond" w:cs="Times New Roman"/>
                <w:color w:val="000000"/>
                <w:lang w:eastAsia="it-IT"/>
              </w:rPr>
              <w:t xml:space="preserve">La </w:t>
            </w:r>
            <w:r w:rsidR="000F0A8F">
              <w:rPr>
                <w:rFonts w:ascii="Garamond" w:eastAsia="Times New Roman" w:hAnsi="Garamond" w:cs="Times New Roman"/>
                <w:color w:val="000000"/>
                <w:lang w:eastAsia="it-IT"/>
              </w:rPr>
              <w:t xml:space="preserve">somma forfettaria </w:t>
            </w:r>
            <w:r w:rsidRPr="00696799">
              <w:rPr>
                <w:rFonts w:ascii="Garamond" w:eastAsia="Times New Roman" w:hAnsi="Garamond" w:cs="Times New Roman"/>
                <w:color w:val="000000"/>
                <w:lang w:eastAsia="it-IT"/>
              </w:rPr>
              <w:t xml:space="preserve">è stata erogata </w:t>
            </w:r>
            <w:r>
              <w:rPr>
                <w:rFonts w:ascii="Garamond" w:eastAsia="Times New Roman" w:hAnsi="Garamond" w:cs="Times New Roman"/>
                <w:color w:val="000000"/>
                <w:lang w:eastAsia="it-IT"/>
              </w:rPr>
              <w:t xml:space="preserve">unicamente </w:t>
            </w:r>
            <w:r w:rsidRPr="00696799">
              <w:rPr>
                <w:rFonts w:ascii="Garamond" w:eastAsia="Times New Roman" w:hAnsi="Garamond" w:cs="Times New Roman"/>
                <w:color w:val="000000"/>
                <w:lang w:eastAsia="it-IT"/>
              </w:rPr>
              <w:t xml:space="preserve">al </w:t>
            </w:r>
            <w:r>
              <w:rPr>
                <w:rFonts w:ascii="Garamond" w:eastAsia="Times New Roman" w:hAnsi="Garamond" w:cs="Times New Roman"/>
                <w:color w:val="000000"/>
                <w:lang w:eastAsia="it-IT"/>
              </w:rPr>
              <w:t xml:space="preserve">pieno </w:t>
            </w:r>
            <w:r w:rsidRPr="00696799">
              <w:rPr>
                <w:rFonts w:ascii="Garamond" w:eastAsia="Times New Roman" w:hAnsi="Garamond" w:cs="Times New Roman"/>
                <w:color w:val="000000"/>
                <w:lang w:eastAsia="it-IT"/>
              </w:rPr>
              <w:t>raggiungimento</w:t>
            </w:r>
            <w:r>
              <w:rPr>
                <w:rFonts w:ascii="Garamond" w:eastAsia="Times New Roman" w:hAnsi="Garamond" w:cs="Times New Roman"/>
                <w:color w:val="000000"/>
                <w:lang w:eastAsia="it-IT"/>
              </w:rPr>
              <w:t xml:space="preserve"> </w:t>
            </w:r>
            <w:r w:rsidRPr="00696799">
              <w:rPr>
                <w:rFonts w:ascii="Garamond" w:eastAsia="Times New Roman" w:hAnsi="Garamond" w:cs="Times New Roman"/>
                <w:color w:val="000000"/>
                <w:lang w:eastAsia="it-IT"/>
              </w:rPr>
              <w:t>de</w:t>
            </w:r>
            <w:r>
              <w:rPr>
                <w:rFonts w:ascii="Garamond" w:eastAsia="Times New Roman" w:hAnsi="Garamond" w:cs="Times New Roman"/>
                <w:color w:val="000000"/>
                <w:lang w:eastAsia="it-IT"/>
              </w:rPr>
              <w:t>l</w:t>
            </w:r>
            <w:r w:rsidRPr="00696799">
              <w:rPr>
                <w:rFonts w:ascii="Garamond" w:eastAsia="Times New Roman" w:hAnsi="Garamond" w:cs="Times New Roman"/>
                <w:color w:val="000000"/>
                <w:lang w:eastAsia="it-IT"/>
              </w:rPr>
              <w:t xml:space="preserve"> risultat</w:t>
            </w:r>
            <w:r>
              <w:rPr>
                <w:rFonts w:ascii="Garamond" w:eastAsia="Times New Roman" w:hAnsi="Garamond" w:cs="Times New Roman"/>
                <w:color w:val="000000"/>
                <w:lang w:eastAsia="it-IT"/>
              </w:rPr>
              <w:t>o</w:t>
            </w:r>
            <w:r w:rsidRPr="00696799">
              <w:rPr>
                <w:rFonts w:ascii="Garamond" w:eastAsia="Times New Roman" w:hAnsi="Garamond" w:cs="Times New Roman"/>
                <w:color w:val="000000"/>
                <w:lang w:eastAsia="it-IT"/>
              </w:rPr>
              <w:t xml:space="preserve"> prestabilit</w:t>
            </w:r>
            <w:r>
              <w:rPr>
                <w:rFonts w:ascii="Garamond" w:eastAsia="Times New Roman" w:hAnsi="Garamond" w:cs="Times New Roman"/>
                <w:color w:val="000000"/>
                <w:lang w:eastAsia="it-IT"/>
              </w:rPr>
              <w:t>o</w:t>
            </w:r>
            <w:r w:rsidRPr="00696799">
              <w:rPr>
                <w:rFonts w:ascii="Garamond" w:eastAsia="Times New Roman" w:hAnsi="Garamond" w:cs="Times New Roman"/>
                <w:color w:val="000000"/>
                <w:lang w:eastAsia="it-IT"/>
              </w:rPr>
              <w:t>?</w:t>
            </w:r>
          </w:p>
        </w:tc>
        <w:tc>
          <w:tcPr>
            <w:tcW w:w="216" w:type="pct"/>
            <w:shd w:val="clear" w:color="auto" w:fill="auto"/>
            <w:vAlign w:val="center"/>
          </w:tcPr>
          <w:p w14:paraId="6EBA6E72"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012C0B9F"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11C67E26"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06E231CE"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2E9D5B14"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936" w:type="pct"/>
            <w:vAlign w:val="center"/>
          </w:tcPr>
          <w:p w14:paraId="1AFCC6A6" w14:textId="527C0393" w:rsidR="00725795" w:rsidRDefault="00725795" w:rsidP="00725795">
            <w:pPr>
              <w:spacing w:after="0" w:line="240" w:lineRule="auto"/>
              <w:rPr>
                <w:rFonts w:ascii="Garamond" w:eastAsia="Times New Roman" w:hAnsi="Garamond" w:cs="Times New Roman"/>
                <w:color w:val="000000"/>
                <w:lang w:eastAsia="it-IT"/>
              </w:rPr>
            </w:pPr>
            <w:r w:rsidRPr="00CA1145">
              <w:rPr>
                <w:rFonts w:ascii="Garamond" w:eastAsia="Times New Roman" w:hAnsi="Garamond" w:cs="Times New Roman"/>
                <w:color w:val="000000"/>
                <w:lang w:eastAsia="it-IT"/>
              </w:rPr>
              <w:t>Verificare la corretta applicazione dell</w:t>
            </w:r>
            <w:r>
              <w:rPr>
                <w:rFonts w:ascii="Garamond" w:eastAsia="Times New Roman" w:hAnsi="Garamond" w:cs="Times New Roman"/>
                <w:color w:val="000000"/>
                <w:lang w:eastAsia="it-IT"/>
              </w:rPr>
              <w:t xml:space="preserve">a somma forfettaria </w:t>
            </w:r>
            <w:r w:rsidR="00F1783B">
              <w:rPr>
                <w:rFonts w:ascii="Garamond" w:eastAsia="Times New Roman" w:hAnsi="Garamond" w:cs="Times New Roman"/>
                <w:color w:val="000000"/>
                <w:lang w:eastAsia="it-IT"/>
              </w:rPr>
              <w:t xml:space="preserve">stimata </w:t>
            </w:r>
            <w:r w:rsidRPr="00CA1145">
              <w:rPr>
                <w:rFonts w:ascii="Garamond" w:eastAsia="Times New Roman" w:hAnsi="Garamond" w:cs="Times New Roman"/>
                <w:color w:val="000000"/>
                <w:lang w:eastAsia="it-IT"/>
              </w:rPr>
              <w:t xml:space="preserve">rispetto alle spese rendicontate. </w:t>
            </w:r>
            <w:r w:rsidR="00F1783B">
              <w:rPr>
                <w:rFonts w:ascii="Garamond" w:eastAsia="Times New Roman" w:hAnsi="Garamond" w:cs="Times New Roman"/>
                <w:color w:val="000000"/>
                <w:lang w:eastAsia="it-IT"/>
              </w:rPr>
              <w:t>V</w:t>
            </w:r>
            <w:r w:rsidRPr="00CA1145">
              <w:rPr>
                <w:rFonts w:ascii="Garamond" w:eastAsia="Times New Roman" w:hAnsi="Garamond" w:cs="Times New Roman"/>
                <w:color w:val="000000"/>
                <w:lang w:eastAsia="it-IT"/>
              </w:rPr>
              <w:t>erificare</w:t>
            </w:r>
            <w:r w:rsidR="00F1783B">
              <w:rPr>
                <w:rFonts w:ascii="Garamond" w:eastAsia="Times New Roman" w:hAnsi="Garamond" w:cs="Times New Roman"/>
                <w:color w:val="000000"/>
                <w:lang w:eastAsia="it-IT"/>
              </w:rPr>
              <w:t>, quindi,</w:t>
            </w:r>
            <w:r w:rsidRPr="00CA1145">
              <w:rPr>
                <w:rFonts w:ascii="Garamond" w:eastAsia="Times New Roman" w:hAnsi="Garamond" w:cs="Times New Roman"/>
                <w:color w:val="000000"/>
                <w:lang w:eastAsia="it-IT"/>
              </w:rPr>
              <w:t xml:space="preserve"> se </w:t>
            </w:r>
            <w:r w:rsidR="00F1783B">
              <w:rPr>
                <w:rFonts w:ascii="Garamond" w:eastAsia="Times New Roman" w:hAnsi="Garamond" w:cs="Times New Roman"/>
                <w:color w:val="000000"/>
                <w:lang w:eastAsia="it-IT"/>
              </w:rPr>
              <w:t>somma forfettaria rendicontata</w:t>
            </w:r>
            <w:r w:rsidRPr="00CA1145">
              <w:rPr>
                <w:rFonts w:ascii="Garamond" w:eastAsia="Times New Roman" w:hAnsi="Garamond" w:cs="Times New Roman"/>
                <w:color w:val="000000"/>
                <w:lang w:eastAsia="it-IT"/>
              </w:rPr>
              <w:t xml:space="preserve"> sia in linea con </w:t>
            </w:r>
            <w:r w:rsidR="00F1783B">
              <w:rPr>
                <w:rFonts w:ascii="Garamond" w:eastAsia="Times New Roman" w:hAnsi="Garamond" w:cs="Times New Roman"/>
                <w:color w:val="000000"/>
                <w:lang w:eastAsia="it-IT"/>
              </w:rPr>
              <w:t>il prodotto/attività realizzata</w:t>
            </w:r>
            <w:r w:rsidRPr="00CA1145">
              <w:rPr>
                <w:rFonts w:ascii="Garamond" w:eastAsia="Times New Roman" w:hAnsi="Garamond" w:cs="Times New Roman"/>
                <w:color w:val="000000"/>
                <w:lang w:eastAsia="it-IT"/>
              </w:rPr>
              <w:t xml:space="preserve">. </w:t>
            </w:r>
          </w:p>
          <w:p w14:paraId="20E4467C" w14:textId="77777777" w:rsidR="00725795" w:rsidRDefault="00725795" w:rsidP="009E4146">
            <w:pPr>
              <w:spacing w:after="0" w:line="240" w:lineRule="auto"/>
              <w:rPr>
                <w:rFonts w:ascii="Garamond" w:eastAsia="Times New Roman" w:hAnsi="Garamond" w:cs="Times New Roman"/>
                <w:color w:val="000000"/>
                <w:lang w:eastAsia="it-IT"/>
              </w:rPr>
            </w:pPr>
          </w:p>
          <w:p w14:paraId="65BBE90A" w14:textId="243503EC" w:rsidR="009E4146" w:rsidRPr="00FA4C41" w:rsidRDefault="00BD4C10" w:rsidP="009E4146">
            <w:pPr>
              <w:spacing w:after="0" w:line="240" w:lineRule="auto"/>
              <w:rPr>
                <w:rFonts w:ascii="Garamond" w:eastAsia="Times New Roman" w:hAnsi="Garamond" w:cs="Times New Roman"/>
                <w:color w:val="000000"/>
                <w:lang w:eastAsia="it-IT"/>
              </w:rPr>
            </w:pPr>
            <w:r w:rsidRPr="00BD4C10">
              <w:rPr>
                <w:rFonts w:ascii="Garamond" w:eastAsia="Times New Roman" w:hAnsi="Garamond" w:cs="Times New Roman"/>
                <w:color w:val="000000"/>
                <w:lang w:eastAsia="it-IT"/>
              </w:rPr>
              <w:t>• Documentazione attestante i risultati conseguiti</w:t>
            </w:r>
          </w:p>
        </w:tc>
      </w:tr>
      <w:tr w:rsidR="001D775D" w:rsidRPr="00B50AD7" w14:paraId="63242582" w14:textId="77777777" w:rsidTr="00D97715">
        <w:trPr>
          <w:trHeight w:val="387"/>
        </w:trPr>
        <w:tc>
          <w:tcPr>
            <w:tcW w:w="154" w:type="pct"/>
            <w:shd w:val="clear" w:color="auto" w:fill="92D050"/>
            <w:vAlign w:val="center"/>
          </w:tcPr>
          <w:p w14:paraId="5532E51D" w14:textId="251AA788" w:rsidR="001D775D" w:rsidRPr="001D775D" w:rsidRDefault="00900112" w:rsidP="001D775D">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E</w:t>
            </w:r>
          </w:p>
        </w:tc>
        <w:tc>
          <w:tcPr>
            <w:tcW w:w="4846" w:type="pct"/>
            <w:gridSpan w:val="7"/>
            <w:shd w:val="clear" w:color="auto" w:fill="92D050"/>
            <w:vAlign w:val="center"/>
          </w:tcPr>
          <w:p w14:paraId="75DABA25" w14:textId="7FA0C3D0" w:rsidR="001D775D" w:rsidRPr="001D775D" w:rsidRDefault="001D775D" w:rsidP="008A723A">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 xml:space="preserve">Punti di verifica </w:t>
            </w:r>
            <w:r w:rsidR="008A723A">
              <w:rPr>
                <w:rFonts w:ascii="Garamond" w:eastAsia="Times New Roman" w:hAnsi="Garamond" w:cs="Times New Roman"/>
                <w:b/>
                <w:bCs/>
                <w:lang w:eastAsia="it-IT"/>
              </w:rPr>
              <w:t>per il f</w:t>
            </w:r>
            <w:r w:rsidR="008A723A" w:rsidRPr="008A723A">
              <w:rPr>
                <w:rFonts w:ascii="Garamond" w:eastAsia="Times New Roman" w:hAnsi="Garamond" w:cs="Times New Roman"/>
                <w:b/>
                <w:bCs/>
                <w:lang w:eastAsia="it-IT"/>
              </w:rPr>
              <w:t>inanziamento a tasso forfettario dei costi indiretti</w:t>
            </w:r>
          </w:p>
        </w:tc>
      </w:tr>
      <w:tr w:rsidR="009E4146" w:rsidRPr="00B50AD7" w14:paraId="1C1A7C0F" w14:textId="77777777" w:rsidTr="001A2A54">
        <w:trPr>
          <w:trHeight w:val="1400"/>
        </w:trPr>
        <w:tc>
          <w:tcPr>
            <w:tcW w:w="154" w:type="pct"/>
            <w:shd w:val="clear" w:color="auto" w:fill="auto"/>
            <w:vAlign w:val="center"/>
          </w:tcPr>
          <w:p w14:paraId="78537EA5" w14:textId="799901CF" w:rsidR="009E4146" w:rsidRDefault="00485ED6" w:rsidP="009E414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92" w:type="pct"/>
            <w:shd w:val="clear" w:color="auto" w:fill="auto"/>
            <w:vAlign w:val="center"/>
          </w:tcPr>
          <w:p w14:paraId="362E8085" w14:textId="3AC61D49" w:rsidR="009E4146" w:rsidRDefault="00EB30A1" w:rsidP="00CD6FA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finanziamento a tasso forfettario dei costi indiretti</w:t>
            </w:r>
            <w:r w:rsidR="002F283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secondo le modalità previste dall’art. </w:t>
            </w:r>
            <w:r w:rsidR="00F00613">
              <w:rPr>
                <w:rFonts w:ascii="Garamond" w:eastAsia="Times New Roman" w:hAnsi="Garamond" w:cs="Times New Roman"/>
                <w:color w:val="000000"/>
                <w:lang w:eastAsia="it-IT"/>
              </w:rPr>
              <w:t>54</w:t>
            </w:r>
            <w:r w:rsidR="007545BB">
              <w:rPr>
                <w:rFonts w:ascii="Garamond" w:eastAsia="Times New Roman" w:hAnsi="Garamond" w:cs="Times New Roman"/>
                <w:color w:val="000000"/>
                <w:lang w:eastAsia="it-IT"/>
              </w:rPr>
              <w:t xml:space="preserve"> </w:t>
            </w:r>
            <w:r w:rsidR="00F00613">
              <w:rPr>
                <w:rFonts w:ascii="Garamond" w:eastAsia="Times New Roman" w:hAnsi="Garamond" w:cs="Times New Roman"/>
                <w:color w:val="000000"/>
                <w:lang w:eastAsia="it-IT"/>
              </w:rPr>
              <w:t>del Reg. (UE) 2021</w:t>
            </w:r>
            <w:r w:rsidR="00BA063E">
              <w:rPr>
                <w:rFonts w:ascii="Garamond" w:eastAsia="Times New Roman" w:hAnsi="Garamond" w:cs="Times New Roman"/>
                <w:color w:val="000000"/>
                <w:lang w:eastAsia="it-IT"/>
              </w:rPr>
              <w:t>/1060</w:t>
            </w:r>
            <w:r w:rsidR="00F00613">
              <w:rPr>
                <w:rFonts w:ascii="Garamond" w:eastAsia="Times New Roman" w:hAnsi="Garamond" w:cs="Times New Roman"/>
                <w:color w:val="000000"/>
                <w:lang w:eastAsia="it-IT"/>
              </w:rPr>
              <w:t>, l’importo rendicontato è in linea con la percentuale prescelta in</w:t>
            </w:r>
            <w:r w:rsidR="0042300C">
              <w:rPr>
                <w:rFonts w:ascii="Garamond" w:eastAsia="Times New Roman" w:hAnsi="Garamond" w:cs="Times New Roman"/>
                <w:color w:val="000000"/>
                <w:lang w:eastAsia="it-IT"/>
              </w:rPr>
              <w:t xml:space="preserve"> relazione ai costi diretti ammissibili</w:t>
            </w:r>
            <w:r w:rsidR="0042300C">
              <w:rPr>
                <w:rStyle w:val="Rimandonotaapidipagina"/>
                <w:rFonts w:ascii="Garamond" w:eastAsia="Times New Roman" w:hAnsi="Garamond" w:cs="Times New Roman"/>
                <w:color w:val="000000"/>
                <w:lang w:eastAsia="it-IT"/>
              </w:rPr>
              <w:footnoteReference w:id="6"/>
            </w:r>
            <w:r w:rsidR="0042300C">
              <w:rPr>
                <w:rFonts w:ascii="Garamond" w:eastAsia="Times New Roman" w:hAnsi="Garamond" w:cs="Times New Roman"/>
                <w:color w:val="000000"/>
                <w:lang w:eastAsia="it-IT"/>
              </w:rPr>
              <w:t>?</w:t>
            </w:r>
          </w:p>
        </w:tc>
        <w:tc>
          <w:tcPr>
            <w:tcW w:w="216" w:type="pct"/>
            <w:shd w:val="clear" w:color="auto" w:fill="auto"/>
            <w:vAlign w:val="center"/>
          </w:tcPr>
          <w:p w14:paraId="31053C78"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30ED8C61"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242F3557"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421E04C0"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14A911CB"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936" w:type="pct"/>
            <w:vAlign w:val="center"/>
          </w:tcPr>
          <w:p w14:paraId="424BE1D3" w14:textId="22FFD13C" w:rsidR="00752619" w:rsidRPr="00BF18BE" w:rsidRDefault="00BF18BE" w:rsidP="00BF18BE">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752619" w:rsidRPr="00BF18BE">
              <w:rPr>
                <w:rFonts w:ascii="Garamond" w:eastAsia="Times New Roman" w:hAnsi="Garamond" w:cs="Times New Roman"/>
                <w:color w:val="000000"/>
                <w:lang w:eastAsia="it-IT"/>
              </w:rPr>
              <w:t>Scheda di progetto</w:t>
            </w:r>
            <w:r w:rsidR="000A200A">
              <w:rPr>
                <w:rFonts w:ascii="Garamond" w:eastAsia="Times New Roman" w:hAnsi="Garamond" w:cs="Times New Roman"/>
                <w:color w:val="000000"/>
                <w:lang w:eastAsia="it-IT"/>
              </w:rPr>
              <w:t xml:space="preserve"> (con particolare attenzione al piano finanziario)</w:t>
            </w:r>
          </w:p>
          <w:p w14:paraId="351C5CA2" w14:textId="1069E2AD" w:rsidR="009E4146" w:rsidRPr="00BF18BE" w:rsidRDefault="00BF18BE" w:rsidP="00BF18BE">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752619" w:rsidRPr="00BF18BE">
              <w:rPr>
                <w:rFonts w:ascii="Garamond" w:eastAsia="Times New Roman" w:hAnsi="Garamond" w:cs="Times New Roman"/>
                <w:color w:val="000000"/>
                <w:lang w:eastAsia="it-IT"/>
              </w:rPr>
              <w:t>Domanda di rimborso</w:t>
            </w:r>
          </w:p>
        </w:tc>
      </w:tr>
      <w:tr w:rsidR="009E4146" w:rsidRPr="00B50AD7" w14:paraId="34BC165F" w14:textId="77777777" w:rsidTr="001A2A54">
        <w:trPr>
          <w:trHeight w:val="866"/>
        </w:trPr>
        <w:tc>
          <w:tcPr>
            <w:tcW w:w="154" w:type="pct"/>
            <w:shd w:val="clear" w:color="auto" w:fill="auto"/>
            <w:vAlign w:val="center"/>
          </w:tcPr>
          <w:p w14:paraId="099B7064" w14:textId="32324A18" w:rsidR="009E4146" w:rsidRDefault="00485ED6" w:rsidP="009E414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92" w:type="pct"/>
            <w:shd w:val="clear" w:color="auto" w:fill="auto"/>
            <w:vAlign w:val="center"/>
          </w:tcPr>
          <w:p w14:paraId="2B336DBE" w14:textId="0EB89D67" w:rsidR="009E4146" w:rsidRDefault="003C579C" w:rsidP="003C579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definiti </w:t>
            </w:r>
            <w:r w:rsidR="0072445D">
              <w:rPr>
                <w:rFonts w:ascii="Garamond" w:eastAsia="Times New Roman" w:hAnsi="Garamond" w:cs="Times New Roman"/>
                <w:color w:val="000000"/>
                <w:lang w:eastAsia="it-IT"/>
              </w:rPr>
              <w:t xml:space="preserve">con precisione </w:t>
            </w:r>
            <w:r>
              <w:rPr>
                <w:rFonts w:ascii="Garamond" w:eastAsia="Times New Roman" w:hAnsi="Garamond" w:cs="Times New Roman"/>
                <w:color w:val="000000"/>
                <w:lang w:eastAsia="it-IT"/>
              </w:rPr>
              <w:t xml:space="preserve">i </w:t>
            </w:r>
            <w:r w:rsidRPr="003C579C">
              <w:rPr>
                <w:rFonts w:ascii="Garamond" w:eastAsia="Times New Roman" w:hAnsi="Garamond" w:cs="Times New Roman"/>
                <w:color w:val="000000"/>
                <w:lang w:eastAsia="it-IT"/>
              </w:rPr>
              <w:t>costi</w:t>
            </w:r>
            <w:r w:rsidR="0072445D">
              <w:rPr>
                <w:rFonts w:ascii="Garamond" w:eastAsia="Times New Roman" w:hAnsi="Garamond" w:cs="Times New Roman"/>
                <w:color w:val="000000"/>
                <w:lang w:eastAsia="it-IT"/>
              </w:rPr>
              <w:t xml:space="preserve"> </w:t>
            </w:r>
            <w:r w:rsidRPr="003C579C">
              <w:rPr>
                <w:rFonts w:ascii="Garamond" w:eastAsia="Times New Roman" w:hAnsi="Garamond" w:cs="Times New Roman"/>
                <w:color w:val="000000"/>
                <w:lang w:eastAsia="it-IT"/>
              </w:rPr>
              <w:t>diretti</w:t>
            </w:r>
            <w:r w:rsidR="0072445D">
              <w:rPr>
                <w:rFonts w:ascii="Garamond" w:eastAsia="Times New Roman" w:hAnsi="Garamond" w:cs="Times New Roman"/>
                <w:color w:val="000000"/>
                <w:lang w:eastAsia="it-IT"/>
              </w:rPr>
              <w:t xml:space="preserve"> </w:t>
            </w:r>
            <w:r w:rsidRPr="003C579C">
              <w:rPr>
                <w:rFonts w:ascii="Garamond" w:eastAsia="Times New Roman" w:hAnsi="Garamond" w:cs="Times New Roman"/>
                <w:color w:val="000000"/>
                <w:lang w:eastAsia="it-IT"/>
              </w:rPr>
              <w:t>ammissibili e</w:t>
            </w:r>
            <w:r w:rsidR="00303CFF">
              <w:rPr>
                <w:rFonts w:ascii="Garamond" w:eastAsia="Times New Roman" w:hAnsi="Garamond" w:cs="Times New Roman"/>
                <w:color w:val="000000"/>
                <w:lang w:eastAsia="it-IT"/>
              </w:rPr>
              <w:t xml:space="preserve"> le modalità attraverso le quali questi </w:t>
            </w:r>
            <w:r w:rsidR="00303CFF" w:rsidRPr="003C579C">
              <w:rPr>
                <w:rFonts w:ascii="Garamond" w:eastAsia="Times New Roman" w:hAnsi="Garamond" w:cs="Times New Roman"/>
                <w:color w:val="000000"/>
                <w:lang w:eastAsia="it-IT"/>
              </w:rPr>
              <w:t>devono</w:t>
            </w:r>
            <w:r w:rsidRPr="003C579C">
              <w:rPr>
                <w:rFonts w:ascii="Garamond" w:eastAsia="Times New Roman" w:hAnsi="Garamond" w:cs="Times New Roman"/>
                <w:color w:val="000000"/>
                <w:lang w:eastAsia="it-IT"/>
              </w:rPr>
              <w:t xml:space="preserve"> essere comprovati?</w:t>
            </w:r>
          </w:p>
        </w:tc>
        <w:tc>
          <w:tcPr>
            <w:tcW w:w="216" w:type="pct"/>
            <w:shd w:val="clear" w:color="auto" w:fill="auto"/>
            <w:vAlign w:val="center"/>
          </w:tcPr>
          <w:p w14:paraId="6F05DB73"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4EC0CB47"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55435069"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1270C262"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0ADDF535" w14:textId="77777777" w:rsidR="009E4146" w:rsidRPr="00B50AD7" w:rsidRDefault="009E4146" w:rsidP="009E4146">
            <w:pPr>
              <w:spacing w:after="0" w:line="240" w:lineRule="auto"/>
              <w:rPr>
                <w:rFonts w:ascii="Garamond" w:eastAsia="Times New Roman" w:hAnsi="Garamond" w:cs="Times New Roman"/>
                <w:b/>
                <w:bCs/>
                <w:color w:val="000000"/>
                <w:lang w:eastAsia="it-IT"/>
              </w:rPr>
            </w:pPr>
          </w:p>
        </w:tc>
        <w:tc>
          <w:tcPr>
            <w:tcW w:w="936" w:type="pct"/>
            <w:vAlign w:val="center"/>
          </w:tcPr>
          <w:p w14:paraId="5AEB924C" w14:textId="25F278D2" w:rsidR="00752619" w:rsidRPr="0091592B" w:rsidRDefault="0091592B" w:rsidP="0091592B">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752619" w:rsidRPr="0091592B">
              <w:rPr>
                <w:rFonts w:ascii="Garamond" w:eastAsia="Times New Roman" w:hAnsi="Garamond" w:cs="Times New Roman"/>
                <w:color w:val="000000"/>
                <w:lang w:eastAsia="it-IT"/>
              </w:rPr>
              <w:t>Scheda di progetto</w:t>
            </w:r>
            <w:r w:rsidR="000A200A">
              <w:rPr>
                <w:rFonts w:ascii="Garamond" w:eastAsia="Times New Roman" w:hAnsi="Garamond" w:cs="Times New Roman"/>
                <w:color w:val="000000"/>
                <w:lang w:eastAsia="it-IT"/>
              </w:rPr>
              <w:t xml:space="preserve"> (con particolare attenzione al piano finanziario)</w:t>
            </w:r>
          </w:p>
          <w:p w14:paraId="0014B04C" w14:textId="24B52D13" w:rsidR="009E4146" w:rsidRPr="0091592B" w:rsidRDefault="0091592B" w:rsidP="0091592B">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752619" w:rsidRPr="0091592B">
              <w:rPr>
                <w:rFonts w:ascii="Garamond" w:eastAsia="Times New Roman" w:hAnsi="Garamond" w:cs="Times New Roman"/>
                <w:color w:val="000000"/>
                <w:lang w:eastAsia="it-IT"/>
              </w:rPr>
              <w:t>Domanda di rimborso</w:t>
            </w:r>
          </w:p>
        </w:tc>
      </w:tr>
      <w:tr w:rsidR="00BE3FFB" w:rsidRPr="00B50AD7" w14:paraId="27363CDA" w14:textId="77777777" w:rsidTr="001A2A54">
        <w:trPr>
          <w:trHeight w:val="835"/>
        </w:trPr>
        <w:tc>
          <w:tcPr>
            <w:tcW w:w="154" w:type="pct"/>
            <w:shd w:val="clear" w:color="auto" w:fill="auto"/>
            <w:vAlign w:val="center"/>
          </w:tcPr>
          <w:p w14:paraId="4899FE63" w14:textId="4E515442" w:rsidR="00BE3FFB" w:rsidRDefault="00485ED6" w:rsidP="00BE3FF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92" w:type="pct"/>
            <w:shd w:val="clear" w:color="auto" w:fill="auto"/>
            <w:vAlign w:val="center"/>
          </w:tcPr>
          <w:p w14:paraId="56C1071C" w14:textId="3BDA5AD8" w:rsidR="00BE3FFB" w:rsidRDefault="00BE3FFB" w:rsidP="00BE3FFB">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w:t>
            </w:r>
            <w:r w:rsidRPr="00E51C87">
              <w:rPr>
                <w:rFonts w:ascii="Garamond" w:eastAsia="Times New Roman" w:hAnsi="Garamond" w:cs="Times New Roman"/>
                <w:color w:val="000000"/>
                <w:lang w:eastAsia="it-IT"/>
              </w:rPr>
              <w:t xml:space="preserve"> siano state applicate rettifiche ai costi diretti, sono stati ridotti</w:t>
            </w:r>
            <w:r>
              <w:rPr>
                <w:rFonts w:ascii="Garamond" w:eastAsia="Times New Roman" w:hAnsi="Garamond" w:cs="Times New Roman"/>
                <w:color w:val="000000"/>
                <w:lang w:eastAsia="it-IT"/>
              </w:rPr>
              <w:t xml:space="preserve"> </w:t>
            </w:r>
            <w:r w:rsidRPr="00E51C87">
              <w:rPr>
                <w:rFonts w:ascii="Garamond" w:eastAsia="Times New Roman" w:hAnsi="Garamond" w:cs="Times New Roman"/>
                <w:color w:val="000000"/>
                <w:lang w:eastAsia="it-IT"/>
              </w:rPr>
              <w:t xml:space="preserve">di conseguenza anche i costi indiretti </w:t>
            </w:r>
            <w:r w:rsidR="007F0E66">
              <w:rPr>
                <w:rFonts w:ascii="Garamond" w:eastAsia="Times New Roman" w:hAnsi="Garamond" w:cs="Times New Roman"/>
                <w:color w:val="000000"/>
                <w:lang w:eastAsia="it-IT"/>
              </w:rPr>
              <w:t xml:space="preserve">forfettari </w:t>
            </w:r>
            <w:r w:rsidRPr="00E51C87">
              <w:rPr>
                <w:rFonts w:ascii="Garamond" w:eastAsia="Times New Roman" w:hAnsi="Garamond" w:cs="Times New Roman"/>
                <w:color w:val="000000"/>
                <w:lang w:eastAsia="it-IT"/>
              </w:rPr>
              <w:t>ammissibili?</w:t>
            </w:r>
          </w:p>
        </w:tc>
        <w:tc>
          <w:tcPr>
            <w:tcW w:w="216" w:type="pct"/>
            <w:shd w:val="clear" w:color="auto" w:fill="auto"/>
            <w:vAlign w:val="center"/>
          </w:tcPr>
          <w:p w14:paraId="463AB3A2" w14:textId="77777777" w:rsidR="00BE3FFB" w:rsidRPr="00B50AD7" w:rsidRDefault="00BE3FFB" w:rsidP="00BE3FFB">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550A2E5C" w14:textId="77777777" w:rsidR="00BE3FFB" w:rsidRPr="00B50AD7" w:rsidRDefault="00BE3FFB" w:rsidP="00BE3FFB">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02A15777" w14:textId="77777777" w:rsidR="00BE3FFB" w:rsidRPr="00B50AD7" w:rsidRDefault="00BE3FFB" w:rsidP="00BE3FFB">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02A5341F" w14:textId="77777777" w:rsidR="00BE3FFB" w:rsidRPr="00B50AD7" w:rsidRDefault="00BE3FFB" w:rsidP="00BE3FFB">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16CD2C1C" w14:textId="77777777" w:rsidR="00BE3FFB" w:rsidRPr="00B50AD7" w:rsidRDefault="00BE3FFB" w:rsidP="00BE3FFB">
            <w:pPr>
              <w:spacing w:after="0" w:line="240" w:lineRule="auto"/>
              <w:rPr>
                <w:rFonts w:ascii="Garamond" w:eastAsia="Times New Roman" w:hAnsi="Garamond" w:cs="Times New Roman"/>
                <w:b/>
                <w:bCs/>
                <w:color w:val="000000"/>
                <w:lang w:eastAsia="it-IT"/>
              </w:rPr>
            </w:pPr>
          </w:p>
        </w:tc>
        <w:tc>
          <w:tcPr>
            <w:tcW w:w="936" w:type="pct"/>
            <w:vAlign w:val="center"/>
          </w:tcPr>
          <w:p w14:paraId="1C234617" w14:textId="1C4C1969" w:rsidR="00E02CFA" w:rsidRPr="0091592B" w:rsidRDefault="0091592B" w:rsidP="0091592B">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E02CFA" w:rsidRPr="0091592B">
              <w:rPr>
                <w:rFonts w:ascii="Garamond" w:eastAsia="Times New Roman" w:hAnsi="Garamond" w:cs="Times New Roman"/>
                <w:color w:val="000000"/>
                <w:lang w:eastAsia="it-IT"/>
              </w:rPr>
              <w:t>Scheda di progetto</w:t>
            </w:r>
            <w:r w:rsidR="000A200A">
              <w:rPr>
                <w:rFonts w:ascii="Garamond" w:eastAsia="Times New Roman" w:hAnsi="Garamond" w:cs="Times New Roman"/>
                <w:color w:val="000000"/>
                <w:lang w:eastAsia="it-IT"/>
              </w:rPr>
              <w:t xml:space="preserve"> (con particolare attenzione al piano finanziario)</w:t>
            </w:r>
          </w:p>
          <w:p w14:paraId="5821E40A" w14:textId="470054F6" w:rsidR="00BE3FFB" w:rsidRPr="0091592B" w:rsidRDefault="0091592B" w:rsidP="0091592B">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E02CFA" w:rsidRPr="0091592B">
              <w:rPr>
                <w:rFonts w:ascii="Garamond" w:eastAsia="Times New Roman" w:hAnsi="Garamond" w:cs="Times New Roman"/>
                <w:color w:val="000000"/>
                <w:lang w:eastAsia="it-IT"/>
              </w:rPr>
              <w:t>Domanda di rimborso</w:t>
            </w:r>
          </w:p>
        </w:tc>
      </w:tr>
      <w:tr w:rsidR="00BE3FFB" w:rsidRPr="00B50AD7" w14:paraId="43B28495" w14:textId="77777777" w:rsidTr="00D97715">
        <w:trPr>
          <w:trHeight w:val="437"/>
        </w:trPr>
        <w:tc>
          <w:tcPr>
            <w:tcW w:w="154" w:type="pct"/>
            <w:shd w:val="clear" w:color="auto" w:fill="92D050"/>
            <w:vAlign w:val="center"/>
          </w:tcPr>
          <w:p w14:paraId="2053B325" w14:textId="4A62903E" w:rsidR="00BE3FFB" w:rsidRPr="00BD54C5" w:rsidRDefault="00900112" w:rsidP="00BE3FFB">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846" w:type="pct"/>
            <w:gridSpan w:val="7"/>
            <w:shd w:val="clear" w:color="auto" w:fill="92D050"/>
            <w:vAlign w:val="center"/>
          </w:tcPr>
          <w:p w14:paraId="1D14D816" w14:textId="29B0B111" w:rsidR="00BE3FFB" w:rsidRDefault="00BE3FFB" w:rsidP="00BE3FFB">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Punti di verifica per il f</w:t>
            </w:r>
            <w:r w:rsidRPr="008A723A">
              <w:rPr>
                <w:rFonts w:ascii="Garamond" w:eastAsia="Times New Roman" w:hAnsi="Garamond" w:cs="Times New Roman"/>
                <w:b/>
                <w:bCs/>
                <w:lang w:eastAsia="it-IT"/>
              </w:rPr>
              <w:t xml:space="preserve">inanziamento a tasso forfettario dei costi </w:t>
            </w:r>
            <w:r>
              <w:rPr>
                <w:rFonts w:ascii="Garamond" w:eastAsia="Times New Roman" w:hAnsi="Garamond" w:cs="Times New Roman"/>
                <w:b/>
                <w:bCs/>
                <w:lang w:eastAsia="it-IT"/>
              </w:rPr>
              <w:t>di personale</w:t>
            </w:r>
          </w:p>
        </w:tc>
      </w:tr>
      <w:tr w:rsidR="003C63F0" w:rsidRPr="00B50AD7" w14:paraId="02D7306B" w14:textId="77777777" w:rsidTr="001A2A54">
        <w:trPr>
          <w:trHeight w:val="1846"/>
        </w:trPr>
        <w:tc>
          <w:tcPr>
            <w:tcW w:w="154" w:type="pct"/>
            <w:shd w:val="clear" w:color="auto" w:fill="auto"/>
            <w:vAlign w:val="center"/>
          </w:tcPr>
          <w:p w14:paraId="37DC6035" w14:textId="07B4DC98" w:rsidR="003C63F0" w:rsidRDefault="00485ED6" w:rsidP="003C63F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92" w:type="pct"/>
            <w:shd w:val="clear" w:color="auto" w:fill="auto"/>
            <w:vAlign w:val="center"/>
          </w:tcPr>
          <w:p w14:paraId="1C6390F2" w14:textId="5D5E5382" w:rsidR="003C63F0" w:rsidRDefault="004D5767" w:rsidP="003C63F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w:t>
            </w:r>
            <w:r w:rsidRPr="004D5767">
              <w:rPr>
                <w:rFonts w:ascii="Garamond" w:eastAsia="Times New Roman" w:hAnsi="Garamond" w:cs="Times New Roman"/>
                <w:color w:val="000000"/>
                <w:lang w:eastAsia="it-IT"/>
              </w:rPr>
              <w:t xml:space="preserve">costi diretti per il personale di un’operazione calcolati a un tasso forfettario </w:t>
            </w:r>
            <w:r w:rsidR="00664AA4" w:rsidRPr="00664AA4">
              <w:rPr>
                <w:rFonts w:ascii="Garamond" w:eastAsia="Times New Roman" w:hAnsi="Garamond" w:cs="Times New Roman"/>
                <w:color w:val="000000"/>
                <w:lang w:eastAsia="it-IT"/>
              </w:rPr>
              <w:t xml:space="preserve">dei </w:t>
            </w:r>
            <w:r w:rsidR="00055561">
              <w:rPr>
                <w:rFonts w:ascii="Garamond" w:eastAsia="Times New Roman" w:hAnsi="Garamond" w:cs="Times New Roman"/>
                <w:color w:val="000000"/>
                <w:lang w:eastAsia="it-IT"/>
              </w:rPr>
              <w:t xml:space="preserve">restanti </w:t>
            </w:r>
            <w:r w:rsidR="00664AA4" w:rsidRPr="00664AA4">
              <w:rPr>
                <w:rFonts w:ascii="Garamond" w:eastAsia="Times New Roman" w:hAnsi="Garamond" w:cs="Times New Roman"/>
                <w:color w:val="000000"/>
                <w:lang w:eastAsia="it-IT"/>
              </w:rPr>
              <w:t>costi diretti</w:t>
            </w:r>
            <w:r w:rsidR="00C2431E">
              <w:rPr>
                <w:rFonts w:ascii="Garamond" w:eastAsia="Times New Roman" w:hAnsi="Garamond" w:cs="Times New Roman"/>
                <w:color w:val="000000"/>
                <w:lang w:eastAsia="it-IT"/>
              </w:rPr>
              <w:t xml:space="preserve"> della medesima operazione</w:t>
            </w:r>
            <w:r w:rsidR="003C63F0">
              <w:rPr>
                <w:rFonts w:ascii="Garamond" w:eastAsia="Times New Roman" w:hAnsi="Garamond" w:cs="Times New Roman"/>
                <w:color w:val="000000"/>
                <w:lang w:eastAsia="it-IT"/>
              </w:rPr>
              <w:t>, secondo le modalità previste dall’art. 5</w:t>
            </w:r>
            <w:r w:rsidR="00055561">
              <w:rPr>
                <w:rFonts w:ascii="Garamond" w:eastAsia="Times New Roman" w:hAnsi="Garamond" w:cs="Times New Roman"/>
                <w:color w:val="000000"/>
                <w:lang w:eastAsia="it-IT"/>
              </w:rPr>
              <w:t>5</w:t>
            </w:r>
            <w:r w:rsidR="00B25208">
              <w:rPr>
                <w:rFonts w:ascii="Garamond" w:eastAsia="Times New Roman" w:hAnsi="Garamond" w:cs="Times New Roman"/>
                <w:color w:val="000000"/>
                <w:lang w:eastAsia="it-IT"/>
              </w:rPr>
              <w:t>, comma 1</w:t>
            </w:r>
            <w:r w:rsidR="003C63F0">
              <w:rPr>
                <w:rFonts w:ascii="Garamond" w:eastAsia="Times New Roman" w:hAnsi="Garamond" w:cs="Times New Roman"/>
                <w:color w:val="000000"/>
                <w:lang w:eastAsia="it-IT"/>
              </w:rPr>
              <w:t xml:space="preserve"> del Reg. (UE) 2021</w:t>
            </w:r>
            <w:r w:rsidR="00BA063E">
              <w:rPr>
                <w:rFonts w:ascii="Garamond" w:eastAsia="Times New Roman" w:hAnsi="Garamond" w:cs="Times New Roman"/>
                <w:color w:val="000000"/>
                <w:lang w:eastAsia="it-IT"/>
              </w:rPr>
              <w:t>/1060</w:t>
            </w:r>
            <w:r w:rsidR="003C63F0">
              <w:rPr>
                <w:rFonts w:ascii="Garamond" w:eastAsia="Times New Roman" w:hAnsi="Garamond" w:cs="Times New Roman"/>
                <w:color w:val="000000"/>
                <w:lang w:eastAsia="it-IT"/>
              </w:rPr>
              <w:t>, l’importo rendicontato è in linea con la percentuale prescelta in relazione ai costi diretti ammissibili</w:t>
            </w:r>
            <w:r w:rsidR="003C63F0">
              <w:rPr>
                <w:rStyle w:val="Rimandonotaapidipagina"/>
                <w:rFonts w:ascii="Garamond" w:eastAsia="Times New Roman" w:hAnsi="Garamond" w:cs="Times New Roman"/>
                <w:color w:val="000000"/>
                <w:lang w:eastAsia="it-IT"/>
              </w:rPr>
              <w:footnoteReference w:id="7"/>
            </w:r>
            <w:r w:rsidR="003C63F0">
              <w:rPr>
                <w:rFonts w:ascii="Garamond" w:eastAsia="Times New Roman" w:hAnsi="Garamond" w:cs="Times New Roman"/>
                <w:color w:val="000000"/>
                <w:lang w:eastAsia="it-IT"/>
              </w:rPr>
              <w:t>?</w:t>
            </w:r>
          </w:p>
        </w:tc>
        <w:tc>
          <w:tcPr>
            <w:tcW w:w="216" w:type="pct"/>
            <w:shd w:val="clear" w:color="auto" w:fill="auto"/>
            <w:vAlign w:val="center"/>
          </w:tcPr>
          <w:p w14:paraId="32BC5687"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7E503EDF"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6788FC4D"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0D440997"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0630A3C0"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936" w:type="pct"/>
            <w:vAlign w:val="center"/>
          </w:tcPr>
          <w:p w14:paraId="76E7FAFD" w14:textId="40B8D920" w:rsidR="003469DD" w:rsidRPr="000A200A" w:rsidRDefault="000A200A" w:rsidP="000A200A">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w:t>
            </w:r>
            <w:r w:rsidR="003469DD" w:rsidRPr="000A200A">
              <w:rPr>
                <w:rFonts w:ascii="Garamond" w:eastAsia="Times New Roman" w:hAnsi="Garamond" w:cs="Times New Roman"/>
                <w:color w:val="000000"/>
                <w:lang w:eastAsia="it-IT"/>
              </w:rPr>
              <w:t>cheda di progetto</w:t>
            </w:r>
            <w:r>
              <w:rPr>
                <w:rFonts w:ascii="Garamond" w:eastAsia="Times New Roman" w:hAnsi="Garamond" w:cs="Times New Roman"/>
                <w:color w:val="000000"/>
                <w:lang w:eastAsia="it-IT"/>
              </w:rPr>
              <w:t xml:space="preserve"> (con particolare attenzione al piano finanziario)</w:t>
            </w:r>
          </w:p>
          <w:p w14:paraId="1306B194" w14:textId="10A3449B" w:rsidR="003C63F0" w:rsidRPr="000A200A" w:rsidRDefault="000A200A" w:rsidP="000A200A">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3469DD" w:rsidRPr="000A200A">
              <w:rPr>
                <w:rFonts w:ascii="Garamond" w:eastAsia="Times New Roman" w:hAnsi="Garamond" w:cs="Times New Roman"/>
                <w:color w:val="000000"/>
                <w:lang w:eastAsia="it-IT"/>
              </w:rPr>
              <w:t>Domanda di rimborso</w:t>
            </w:r>
          </w:p>
        </w:tc>
      </w:tr>
      <w:tr w:rsidR="003C63F0" w:rsidRPr="00B50AD7" w14:paraId="1A9F7D27" w14:textId="77777777" w:rsidTr="001A2A54">
        <w:trPr>
          <w:trHeight w:val="808"/>
        </w:trPr>
        <w:tc>
          <w:tcPr>
            <w:tcW w:w="154" w:type="pct"/>
            <w:shd w:val="clear" w:color="auto" w:fill="auto"/>
            <w:vAlign w:val="center"/>
          </w:tcPr>
          <w:p w14:paraId="53176F7F" w14:textId="709C82F7" w:rsidR="003C63F0" w:rsidRDefault="00485ED6" w:rsidP="003C63F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92" w:type="pct"/>
            <w:shd w:val="clear" w:color="auto" w:fill="auto"/>
            <w:vAlign w:val="center"/>
          </w:tcPr>
          <w:p w14:paraId="451D4742" w14:textId="1ADF7F89" w:rsidR="003C63F0" w:rsidRDefault="003C63F0" w:rsidP="003C63F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definiti con precisione i </w:t>
            </w:r>
            <w:r w:rsidR="00FB18A4">
              <w:rPr>
                <w:rFonts w:ascii="Garamond" w:eastAsia="Times New Roman" w:hAnsi="Garamond" w:cs="Times New Roman"/>
                <w:color w:val="000000"/>
                <w:lang w:eastAsia="it-IT"/>
              </w:rPr>
              <w:t xml:space="preserve">restanti </w:t>
            </w:r>
            <w:r w:rsidRPr="003C579C">
              <w:rPr>
                <w:rFonts w:ascii="Garamond" w:eastAsia="Times New Roman" w:hAnsi="Garamond" w:cs="Times New Roman"/>
                <w:color w:val="000000"/>
                <w:lang w:eastAsia="it-IT"/>
              </w:rPr>
              <w:t>costi</w:t>
            </w:r>
            <w:r>
              <w:rPr>
                <w:rFonts w:ascii="Garamond" w:eastAsia="Times New Roman" w:hAnsi="Garamond" w:cs="Times New Roman"/>
                <w:color w:val="000000"/>
                <w:lang w:eastAsia="it-IT"/>
              </w:rPr>
              <w:t xml:space="preserve"> </w:t>
            </w:r>
            <w:r w:rsidRPr="003C579C">
              <w:rPr>
                <w:rFonts w:ascii="Garamond" w:eastAsia="Times New Roman" w:hAnsi="Garamond" w:cs="Times New Roman"/>
                <w:color w:val="000000"/>
                <w:lang w:eastAsia="it-IT"/>
              </w:rPr>
              <w:t>diretti</w:t>
            </w:r>
            <w:r>
              <w:rPr>
                <w:rFonts w:ascii="Garamond" w:eastAsia="Times New Roman" w:hAnsi="Garamond" w:cs="Times New Roman"/>
                <w:color w:val="000000"/>
                <w:lang w:eastAsia="it-IT"/>
              </w:rPr>
              <w:t xml:space="preserve"> </w:t>
            </w:r>
            <w:r w:rsidRPr="003C579C">
              <w:rPr>
                <w:rFonts w:ascii="Garamond" w:eastAsia="Times New Roman" w:hAnsi="Garamond" w:cs="Times New Roman"/>
                <w:color w:val="000000"/>
                <w:lang w:eastAsia="it-IT"/>
              </w:rPr>
              <w:t>ammissibili e</w:t>
            </w:r>
            <w:r>
              <w:rPr>
                <w:rFonts w:ascii="Garamond" w:eastAsia="Times New Roman" w:hAnsi="Garamond" w:cs="Times New Roman"/>
                <w:color w:val="000000"/>
                <w:lang w:eastAsia="it-IT"/>
              </w:rPr>
              <w:t xml:space="preserve"> le modalità attraverso le quali questi </w:t>
            </w:r>
            <w:r w:rsidRPr="003C579C">
              <w:rPr>
                <w:rFonts w:ascii="Garamond" w:eastAsia="Times New Roman" w:hAnsi="Garamond" w:cs="Times New Roman"/>
                <w:color w:val="000000"/>
                <w:lang w:eastAsia="it-IT"/>
              </w:rPr>
              <w:t>devono essere comprovati?</w:t>
            </w:r>
          </w:p>
        </w:tc>
        <w:tc>
          <w:tcPr>
            <w:tcW w:w="216" w:type="pct"/>
            <w:shd w:val="clear" w:color="auto" w:fill="auto"/>
            <w:vAlign w:val="center"/>
          </w:tcPr>
          <w:p w14:paraId="0F438CF1"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2D82A47C"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07ED05F6"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2B0A6AD6"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49B15D9F"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936" w:type="pct"/>
            <w:vAlign w:val="center"/>
          </w:tcPr>
          <w:p w14:paraId="45F12D04" w14:textId="57E44ED6" w:rsidR="005B068B" w:rsidRPr="000A200A" w:rsidRDefault="000A200A" w:rsidP="000A200A">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5B068B" w:rsidRPr="000A200A">
              <w:rPr>
                <w:rFonts w:ascii="Garamond" w:eastAsia="Times New Roman" w:hAnsi="Garamond" w:cs="Times New Roman"/>
                <w:color w:val="000000"/>
                <w:lang w:eastAsia="it-IT"/>
              </w:rPr>
              <w:t>Scheda di progetto</w:t>
            </w:r>
            <w:r w:rsidR="00B6094B">
              <w:rPr>
                <w:rFonts w:ascii="Garamond" w:eastAsia="Times New Roman" w:hAnsi="Garamond" w:cs="Times New Roman"/>
                <w:color w:val="000000"/>
                <w:lang w:eastAsia="it-IT"/>
              </w:rPr>
              <w:t xml:space="preserve"> (con particolare attenzione al piano finanziario)</w:t>
            </w:r>
          </w:p>
          <w:p w14:paraId="34617A59" w14:textId="0542E7CF" w:rsidR="003C63F0" w:rsidRDefault="003C63F0" w:rsidP="008520D5">
            <w:pPr>
              <w:spacing w:after="0" w:line="240" w:lineRule="auto"/>
              <w:ind w:left="250" w:hanging="250"/>
              <w:rPr>
                <w:rFonts w:ascii="Garamond" w:eastAsia="Times New Roman" w:hAnsi="Garamond" w:cs="Times New Roman"/>
                <w:color w:val="000000"/>
                <w:lang w:eastAsia="it-IT"/>
              </w:rPr>
            </w:pPr>
          </w:p>
        </w:tc>
      </w:tr>
      <w:tr w:rsidR="003C63F0" w:rsidRPr="00B50AD7" w14:paraId="634CB265" w14:textId="77777777" w:rsidTr="001A2A54">
        <w:trPr>
          <w:trHeight w:val="1172"/>
        </w:trPr>
        <w:tc>
          <w:tcPr>
            <w:tcW w:w="154" w:type="pct"/>
            <w:shd w:val="clear" w:color="auto" w:fill="auto"/>
            <w:vAlign w:val="center"/>
          </w:tcPr>
          <w:p w14:paraId="5AB8BA42" w14:textId="3F5935C4" w:rsidR="003C63F0" w:rsidRDefault="00485ED6" w:rsidP="003C63F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92" w:type="pct"/>
            <w:shd w:val="clear" w:color="auto" w:fill="auto"/>
            <w:vAlign w:val="center"/>
          </w:tcPr>
          <w:p w14:paraId="7BCE53DC" w14:textId="46B62653" w:rsidR="003C63F0" w:rsidRDefault="003C63F0" w:rsidP="003C63F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w:t>
            </w:r>
            <w:r w:rsidRPr="00E51C87">
              <w:rPr>
                <w:rFonts w:ascii="Garamond" w:eastAsia="Times New Roman" w:hAnsi="Garamond" w:cs="Times New Roman"/>
                <w:color w:val="000000"/>
                <w:lang w:eastAsia="it-IT"/>
              </w:rPr>
              <w:t xml:space="preserve"> siano state applicate rettifiche ai </w:t>
            </w:r>
            <w:r w:rsidR="00FB18A4">
              <w:rPr>
                <w:rFonts w:ascii="Garamond" w:eastAsia="Times New Roman" w:hAnsi="Garamond" w:cs="Times New Roman"/>
                <w:color w:val="000000"/>
                <w:lang w:eastAsia="it-IT"/>
              </w:rPr>
              <w:t xml:space="preserve">restanti </w:t>
            </w:r>
            <w:r w:rsidRPr="00E51C87">
              <w:rPr>
                <w:rFonts w:ascii="Garamond" w:eastAsia="Times New Roman" w:hAnsi="Garamond" w:cs="Times New Roman"/>
                <w:color w:val="000000"/>
                <w:lang w:eastAsia="it-IT"/>
              </w:rPr>
              <w:t>costi diretti, sono stati ridotti</w:t>
            </w:r>
            <w:r>
              <w:rPr>
                <w:rFonts w:ascii="Garamond" w:eastAsia="Times New Roman" w:hAnsi="Garamond" w:cs="Times New Roman"/>
                <w:color w:val="000000"/>
                <w:lang w:eastAsia="it-IT"/>
              </w:rPr>
              <w:t xml:space="preserve"> </w:t>
            </w:r>
            <w:r w:rsidRPr="00E51C87">
              <w:rPr>
                <w:rFonts w:ascii="Garamond" w:eastAsia="Times New Roman" w:hAnsi="Garamond" w:cs="Times New Roman"/>
                <w:color w:val="000000"/>
                <w:lang w:eastAsia="it-IT"/>
              </w:rPr>
              <w:t xml:space="preserve">di conseguenza anche i </w:t>
            </w:r>
            <w:r w:rsidR="000A3618">
              <w:rPr>
                <w:rFonts w:ascii="Garamond" w:eastAsia="Times New Roman" w:hAnsi="Garamond" w:cs="Times New Roman"/>
                <w:color w:val="000000"/>
                <w:lang w:eastAsia="it-IT"/>
              </w:rPr>
              <w:t xml:space="preserve">relativi </w:t>
            </w:r>
            <w:r w:rsidRPr="00E51C87">
              <w:rPr>
                <w:rFonts w:ascii="Garamond" w:eastAsia="Times New Roman" w:hAnsi="Garamond" w:cs="Times New Roman"/>
                <w:color w:val="000000"/>
                <w:lang w:eastAsia="it-IT"/>
              </w:rPr>
              <w:t xml:space="preserve">costi </w:t>
            </w:r>
            <w:r w:rsidR="001412AB">
              <w:rPr>
                <w:rFonts w:ascii="Garamond" w:eastAsia="Times New Roman" w:hAnsi="Garamond" w:cs="Times New Roman"/>
                <w:color w:val="000000"/>
                <w:lang w:eastAsia="it-IT"/>
              </w:rPr>
              <w:t xml:space="preserve">diretti del personale </w:t>
            </w:r>
            <w:r w:rsidR="000A3618">
              <w:rPr>
                <w:rFonts w:ascii="Garamond" w:eastAsia="Times New Roman" w:hAnsi="Garamond" w:cs="Times New Roman"/>
                <w:color w:val="000000"/>
                <w:lang w:eastAsia="it-IT"/>
              </w:rPr>
              <w:t>forfetizzati</w:t>
            </w:r>
            <w:r w:rsidRPr="00E51C87">
              <w:rPr>
                <w:rFonts w:ascii="Garamond" w:eastAsia="Times New Roman" w:hAnsi="Garamond" w:cs="Times New Roman"/>
                <w:color w:val="000000"/>
                <w:lang w:eastAsia="it-IT"/>
              </w:rPr>
              <w:t>?</w:t>
            </w:r>
          </w:p>
        </w:tc>
        <w:tc>
          <w:tcPr>
            <w:tcW w:w="216" w:type="pct"/>
            <w:shd w:val="clear" w:color="auto" w:fill="auto"/>
            <w:vAlign w:val="center"/>
          </w:tcPr>
          <w:p w14:paraId="35740F9D"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4087DB11"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36EBFDA2"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166DFD41"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14997272" w14:textId="77777777" w:rsidR="003C63F0" w:rsidRPr="00B50AD7" w:rsidRDefault="003C63F0" w:rsidP="003C63F0">
            <w:pPr>
              <w:spacing w:after="0" w:line="240" w:lineRule="auto"/>
              <w:rPr>
                <w:rFonts w:ascii="Garamond" w:eastAsia="Times New Roman" w:hAnsi="Garamond" w:cs="Times New Roman"/>
                <w:b/>
                <w:bCs/>
                <w:color w:val="000000"/>
                <w:lang w:eastAsia="it-IT"/>
              </w:rPr>
            </w:pPr>
          </w:p>
        </w:tc>
        <w:tc>
          <w:tcPr>
            <w:tcW w:w="936" w:type="pct"/>
            <w:vAlign w:val="center"/>
          </w:tcPr>
          <w:p w14:paraId="58226866" w14:textId="49E00D9F" w:rsidR="005B068B" w:rsidRPr="00B6094B" w:rsidRDefault="00B6094B" w:rsidP="00B6094B">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5B068B" w:rsidRPr="00B6094B">
              <w:rPr>
                <w:rFonts w:ascii="Garamond" w:eastAsia="Times New Roman" w:hAnsi="Garamond" w:cs="Times New Roman"/>
                <w:color w:val="000000"/>
                <w:lang w:eastAsia="it-IT"/>
              </w:rPr>
              <w:t>Scheda di progetto</w:t>
            </w:r>
          </w:p>
          <w:p w14:paraId="5DC82BFF" w14:textId="580E69FF" w:rsidR="003C63F0" w:rsidRPr="00B6094B" w:rsidRDefault="00B6094B" w:rsidP="00B6094B">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5B068B" w:rsidRPr="00B6094B">
              <w:rPr>
                <w:rFonts w:ascii="Garamond" w:eastAsia="Times New Roman" w:hAnsi="Garamond" w:cs="Times New Roman"/>
                <w:color w:val="000000"/>
                <w:lang w:eastAsia="it-IT"/>
              </w:rPr>
              <w:t>Domanda di rimborso</w:t>
            </w:r>
          </w:p>
        </w:tc>
      </w:tr>
      <w:tr w:rsidR="00BD54C5" w:rsidRPr="00B50AD7" w14:paraId="0AACE260" w14:textId="77777777" w:rsidTr="00D97715">
        <w:trPr>
          <w:trHeight w:val="421"/>
        </w:trPr>
        <w:tc>
          <w:tcPr>
            <w:tcW w:w="154" w:type="pct"/>
            <w:shd w:val="clear" w:color="auto" w:fill="92D050"/>
            <w:vAlign w:val="center"/>
          </w:tcPr>
          <w:p w14:paraId="77803094" w14:textId="58F43127" w:rsidR="00BD54C5" w:rsidRDefault="00900112" w:rsidP="00BD54C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color w:val="000000"/>
                <w:lang w:eastAsia="it-IT"/>
              </w:rPr>
              <w:t>G</w:t>
            </w:r>
          </w:p>
        </w:tc>
        <w:tc>
          <w:tcPr>
            <w:tcW w:w="4846" w:type="pct"/>
            <w:gridSpan w:val="7"/>
            <w:shd w:val="clear" w:color="auto" w:fill="92D050"/>
            <w:vAlign w:val="center"/>
          </w:tcPr>
          <w:p w14:paraId="798F5495" w14:textId="5D5CFAAC" w:rsidR="00BD54C5" w:rsidRDefault="00BD54C5" w:rsidP="00BD54C5">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Punti di verifica per il f</w:t>
            </w:r>
            <w:r w:rsidRPr="00BD54C5">
              <w:rPr>
                <w:rFonts w:ascii="Garamond" w:eastAsia="Times New Roman" w:hAnsi="Garamond" w:cs="Times New Roman"/>
                <w:b/>
                <w:bCs/>
                <w:lang w:eastAsia="it-IT"/>
              </w:rPr>
              <w:t>inanziamento a tasso forfettario dei costi ammissibili diversi dai costi diretti per il personale</w:t>
            </w:r>
          </w:p>
        </w:tc>
      </w:tr>
      <w:tr w:rsidR="00C444CA" w:rsidRPr="00B50AD7" w14:paraId="23A39E44" w14:textId="77777777" w:rsidTr="001A2A54">
        <w:trPr>
          <w:trHeight w:val="593"/>
        </w:trPr>
        <w:tc>
          <w:tcPr>
            <w:tcW w:w="154" w:type="pct"/>
            <w:shd w:val="clear" w:color="auto" w:fill="auto"/>
            <w:vAlign w:val="center"/>
          </w:tcPr>
          <w:p w14:paraId="5ACA3B8D" w14:textId="61FB4A2F" w:rsidR="00C444CA" w:rsidRDefault="00485ED6" w:rsidP="00C444C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92" w:type="pct"/>
            <w:shd w:val="clear" w:color="auto" w:fill="auto"/>
            <w:vAlign w:val="center"/>
          </w:tcPr>
          <w:p w14:paraId="1B5B81E4" w14:textId="5EABD76D" w:rsidR="00C444CA" w:rsidRDefault="00C444CA" w:rsidP="00C444C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di </w:t>
            </w:r>
            <w:r w:rsidRPr="004D5767">
              <w:rPr>
                <w:rFonts w:ascii="Garamond" w:eastAsia="Times New Roman" w:hAnsi="Garamond" w:cs="Times New Roman"/>
                <w:color w:val="000000"/>
                <w:lang w:eastAsia="it-IT"/>
              </w:rPr>
              <w:t xml:space="preserve">costi diretti </w:t>
            </w:r>
            <w:r w:rsidR="0060183D">
              <w:rPr>
                <w:rFonts w:ascii="Garamond" w:eastAsia="Times New Roman" w:hAnsi="Garamond" w:cs="Times New Roman"/>
                <w:color w:val="000000"/>
                <w:lang w:eastAsia="it-IT"/>
              </w:rPr>
              <w:t xml:space="preserve">residui </w:t>
            </w:r>
            <w:r w:rsidRPr="004D5767">
              <w:rPr>
                <w:rFonts w:ascii="Garamond" w:eastAsia="Times New Roman" w:hAnsi="Garamond" w:cs="Times New Roman"/>
                <w:color w:val="000000"/>
                <w:lang w:eastAsia="it-IT"/>
              </w:rPr>
              <w:t xml:space="preserve">di un’operazione calcolati a un tasso forfettario </w:t>
            </w:r>
            <w:r w:rsidRPr="00664AA4">
              <w:rPr>
                <w:rFonts w:ascii="Garamond" w:eastAsia="Times New Roman" w:hAnsi="Garamond" w:cs="Times New Roman"/>
                <w:color w:val="000000"/>
                <w:lang w:eastAsia="it-IT"/>
              </w:rPr>
              <w:t>dei costi diretti</w:t>
            </w:r>
            <w:r>
              <w:rPr>
                <w:rFonts w:ascii="Garamond" w:eastAsia="Times New Roman" w:hAnsi="Garamond" w:cs="Times New Roman"/>
                <w:color w:val="000000"/>
                <w:lang w:eastAsia="it-IT"/>
              </w:rPr>
              <w:t xml:space="preserve"> </w:t>
            </w:r>
            <w:r w:rsidR="0041664F">
              <w:rPr>
                <w:rFonts w:ascii="Garamond" w:eastAsia="Times New Roman" w:hAnsi="Garamond" w:cs="Times New Roman"/>
                <w:color w:val="000000"/>
                <w:lang w:eastAsia="it-IT"/>
              </w:rPr>
              <w:t xml:space="preserve">del personale </w:t>
            </w:r>
            <w:r>
              <w:rPr>
                <w:rFonts w:ascii="Garamond" w:eastAsia="Times New Roman" w:hAnsi="Garamond" w:cs="Times New Roman"/>
                <w:color w:val="000000"/>
                <w:lang w:eastAsia="it-IT"/>
              </w:rPr>
              <w:t>della medesima operazione, secondo le modalità previste dall’art. 5</w:t>
            </w:r>
            <w:r w:rsidR="0041664F">
              <w:rPr>
                <w:rFonts w:ascii="Garamond" w:eastAsia="Times New Roman" w:hAnsi="Garamond" w:cs="Times New Roman"/>
                <w:color w:val="000000"/>
                <w:lang w:eastAsia="it-IT"/>
              </w:rPr>
              <w:t>6</w:t>
            </w:r>
            <w:r>
              <w:rPr>
                <w:rFonts w:ascii="Garamond" w:eastAsia="Times New Roman" w:hAnsi="Garamond" w:cs="Times New Roman"/>
                <w:color w:val="000000"/>
                <w:lang w:eastAsia="it-IT"/>
              </w:rPr>
              <w:t>, comma 1 del Reg. (UE) 2021</w:t>
            </w:r>
            <w:r w:rsidR="00BA063E">
              <w:rPr>
                <w:rFonts w:ascii="Garamond" w:eastAsia="Times New Roman" w:hAnsi="Garamond" w:cs="Times New Roman"/>
                <w:color w:val="000000"/>
                <w:lang w:eastAsia="it-IT"/>
              </w:rPr>
              <w:t>/1060</w:t>
            </w:r>
            <w:r>
              <w:rPr>
                <w:rFonts w:ascii="Garamond" w:eastAsia="Times New Roman" w:hAnsi="Garamond" w:cs="Times New Roman"/>
                <w:color w:val="000000"/>
                <w:lang w:eastAsia="it-IT"/>
              </w:rPr>
              <w:t xml:space="preserve">, l’importo rendicontato è in linea con la percentuale </w:t>
            </w:r>
            <w:r w:rsidR="00C62484">
              <w:rPr>
                <w:rFonts w:ascii="Garamond" w:eastAsia="Times New Roman" w:hAnsi="Garamond" w:cs="Times New Roman"/>
                <w:color w:val="000000"/>
                <w:lang w:eastAsia="it-IT"/>
              </w:rPr>
              <w:t xml:space="preserve">del 40% </w:t>
            </w:r>
            <w:r>
              <w:rPr>
                <w:rFonts w:ascii="Garamond" w:eastAsia="Times New Roman" w:hAnsi="Garamond" w:cs="Times New Roman"/>
                <w:color w:val="000000"/>
                <w:lang w:eastAsia="it-IT"/>
              </w:rPr>
              <w:t xml:space="preserve">in relazione ai costi diretti </w:t>
            </w:r>
            <w:r w:rsidR="0041664F">
              <w:rPr>
                <w:rFonts w:ascii="Garamond" w:eastAsia="Times New Roman" w:hAnsi="Garamond" w:cs="Times New Roman"/>
                <w:color w:val="000000"/>
                <w:lang w:eastAsia="it-IT"/>
              </w:rPr>
              <w:t>del personale</w:t>
            </w:r>
            <w:r>
              <w:rPr>
                <w:rStyle w:val="Rimandonotaapidipagina"/>
                <w:rFonts w:ascii="Garamond" w:eastAsia="Times New Roman" w:hAnsi="Garamond" w:cs="Times New Roman"/>
                <w:color w:val="000000"/>
                <w:lang w:eastAsia="it-IT"/>
              </w:rPr>
              <w:footnoteReference w:id="8"/>
            </w:r>
            <w:r>
              <w:rPr>
                <w:rFonts w:ascii="Garamond" w:eastAsia="Times New Roman" w:hAnsi="Garamond" w:cs="Times New Roman"/>
                <w:color w:val="000000"/>
                <w:lang w:eastAsia="it-IT"/>
              </w:rPr>
              <w:t>?</w:t>
            </w:r>
          </w:p>
        </w:tc>
        <w:tc>
          <w:tcPr>
            <w:tcW w:w="216" w:type="pct"/>
            <w:shd w:val="clear" w:color="auto" w:fill="auto"/>
            <w:vAlign w:val="center"/>
          </w:tcPr>
          <w:p w14:paraId="2092D05C"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3B502CAB"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0DCE6E65"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436DDD1A"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68C80210"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936" w:type="pct"/>
            <w:vAlign w:val="center"/>
          </w:tcPr>
          <w:p w14:paraId="4DA32559" w14:textId="6125DF47" w:rsidR="00D91942" w:rsidRPr="00CF1283" w:rsidRDefault="00CF1283" w:rsidP="00CF1283">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D91942" w:rsidRPr="00CF1283">
              <w:rPr>
                <w:rFonts w:ascii="Garamond" w:eastAsia="Times New Roman" w:hAnsi="Garamond" w:cs="Times New Roman"/>
                <w:color w:val="000000"/>
                <w:lang w:eastAsia="it-IT"/>
              </w:rPr>
              <w:t>Scheda di progetto</w:t>
            </w:r>
            <w:r>
              <w:rPr>
                <w:rFonts w:ascii="Garamond" w:eastAsia="Times New Roman" w:hAnsi="Garamond" w:cs="Times New Roman"/>
                <w:color w:val="000000"/>
                <w:lang w:eastAsia="it-IT"/>
              </w:rPr>
              <w:t xml:space="preserve"> con particolare attenzione al piano finanziario)</w:t>
            </w:r>
          </w:p>
          <w:p w14:paraId="5C0414ED" w14:textId="4C822584" w:rsidR="00C444CA" w:rsidRPr="00CF1283" w:rsidRDefault="00CF1283" w:rsidP="00CF1283">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D91942" w:rsidRPr="00CF1283">
              <w:rPr>
                <w:rFonts w:ascii="Garamond" w:eastAsia="Times New Roman" w:hAnsi="Garamond" w:cs="Times New Roman"/>
                <w:color w:val="000000"/>
                <w:lang w:eastAsia="it-IT"/>
              </w:rPr>
              <w:t>Domanda di rimborso</w:t>
            </w:r>
          </w:p>
        </w:tc>
      </w:tr>
      <w:tr w:rsidR="00C444CA" w:rsidRPr="00B50AD7" w14:paraId="176798C4" w14:textId="77777777" w:rsidTr="001A2A54">
        <w:trPr>
          <w:trHeight w:val="866"/>
        </w:trPr>
        <w:tc>
          <w:tcPr>
            <w:tcW w:w="154" w:type="pct"/>
            <w:shd w:val="clear" w:color="auto" w:fill="auto"/>
            <w:vAlign w:val="center"/>
          </w:tcPr>
          <w:p w14:paraId="56C4FA0F" w14:textId="0059D6F4" w:rsidR="00C444CA" w:rsidRDefault="00485ED6" w:rsidP="00C444C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92" w:type="pct"/>
            <w:shd w:val="clear" w:color="auto" w:fill="auto"/>
            <w:vAlign w:val="center"/>
          </w:tcPr>
          <w:p w14:paraId="5DBA01B1" w14:textId="04E3DED8" w:rsidR="00C444CA" w:rsidRDefault="00C444CA" w:rsidP="00C444C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definiti con precisione i </w:t>
            </w:r>
            <w:r w:rsidRPr="003C579C">
              <w:rPr>
                <w:rFonts w:ascii="Garamond" w:eastAsia="Times New Roman" w:hAnsi="Garamond" w:cs="Times New Roman"/>
                <w:color w:val="000000"/>
                <w:lang w:eastAsia="it-IT"/>
              </w:rPr>
              <w:t>costi</w:t>
            </w:r>
            <w:r>
              <w:rPr>
                <w:rFonts w:ascii="Garamond" w:eastAsia="Times New Roman" w:hAnsi="Garamond" w:cs="Times New Roman"/>
                <w:color w:val="000000"/>
                <w:lang w:eastAsia="it-IT"/>
              </w:rPr>
              <w:t xml:space="preserve"> </w:t>
            </w:r>
            <w:r w:rsidRPr="003C579C">
              <w:rPr>
                <w:rFonts w:ascii="Garamond" w:eastAsia="Times New Roman" w:hAnsi="Garamond" w:cs="Times New Roman"/>
                <w:color w:val="000000"/>
                <w:lang w:eastAsia="it-IT"/>
              </w:rPr>
              <w:t>diretti</w:t>
            </w:r>
            <w:r>
              <w:rPr>
                <w:rFonts w:ascii="Garamond" w:eastAsia="Times New Roman" w:hAnsi="Garamond" w:cs="Times New Roman"/>
                <w:color w:val="000000"/>
                <w:lang w:eastAsia="it-IT"/>
              </w:rPr>
              <w:t xml:space="preserve"> </w:t>
            </w:r>
            <w:r w:rsidR="00F109BB">
              <w:rPr>
                <w:rFonts w:ascii="Garamond" w:eastAsia="Times New Roman" w:hAnsi="Garamond" w:cs="Times New Roman"/>
                <w:color w:val="000000"/>
                <w:lang w:eastAsia="it-IT"/>
              </w:rPr>
              <w:t xml:space="preserve">del personale </w:t>
            </w:r>
            <w:r w:rsidRPr="003C579C">
              <w:rPr>
                <w:rFonts w:ascii="Garamond" w:eastAsia="Times New Roman" w:hAnsi="Garamond" w:cs="Times New Roman"/>
                <w:color w:val="000000"/>
                <w:lang w:eastAsia="it-IT"/>
              </w:rPr>
              <w:t>e</w:t>
            </w:r>
            <w:r>
              <w:rPr>
                <w:rFonts w:ascii="Garamond" w:eastAsia="Times New Roman" w:hAnsi="Garamond" w:cs="Times New Roman"/>
                <w:color w:val="000000"/>
                <w:lang w:eastAsia="it-IT"/>
              </w:rPr>
              <w:t xml:space="preserve"> le modalità attraverso le quali questi </w:t>
            </w:r>
            <w:r w:rsidRPr="003C579C">
              <w:rPr>
                <w:rFonts w:ascii="Garamond" w:eastAsia="Times New Roman" w:hAnsi="Garamond" w:cs="Times New Roman"/>
                <w:color w:val="000000"/>
                <w:lang w:eastAsia="it-IT"/>
              </w:rPr>
              <w:t>devono essere comprovati?</w:t>
            </w:r>
          </w:p>
        </w:tc>
        <w:tc>
          <w:tcPr>
            <w:tcW w:w="216" w:type="pct"/>
            <w:shd w:val="clear" w:color="auto" w:fill="auto"/>
            <w:vAlign w:val="center"/>
          </w:tcPr>
          <w:p w14:paraId="43DFC0E3"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79F79948"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2AC050AD"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2EE3B785"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71042568"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936" w:type="pct"/>
            <w:vAlign w:val="center"/>
          </w:tcPr>
          <w:p w14:paraId="3B09F021" w14:textId="16C42D5B" w:rsidR="00D91942" w:rsidRPr="00CF1283" w:rsidRDefault="00CF1283" w:rsidP="00CF1283">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D91942" w:rsidRPr="00CF1283">
              <w:rPr>
                <w:rFonts w:ascii="Garamond" w:eastAsia="Times New Roman" w:hAnsi="Garamond" w:cs="Times New Roman"/>
                <w:color w:val="000000"/>
                <w:lang w:eastAsia="it-IT"/>
              </w:rPr>
              <w:t>Scheda di progetto</w:t>
            </w:r>
            <w:r w:rsidR="00EB7CB0">
              <w:rPr>
                <w:rFonts w:ascii="Garamond" w:eastAsia="Times New Roman" w:hAnsi="Garamond" w:cs="Times New Roman"/>
                <w:color w:val="000000"/>
                <w:lang w:eastAsia="it-IT"/>
              </w:rPr>
              <w:t xml:space="preserve"> con particolare attenzione al piano finanziario)</w:t>
            </w:r>
          </w:p>
          <w:p w14:paraId="471BFA8C" w14:textId="57D259D0" w:rsidR="00C444CA" w:rsidRPr="00EB7CB0" w:rsidRDefault="00EB7CB0" w:rsidP="00EB7CB0">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D91942" w:rsidRPr="00EB7CB0">
              <w:rPr>
                <w:rFonts w:ascii="Garamond" w:eastAsia="Times New Roman" w:hAnsi="Garamond" w:cs="Times New Roman"/>
                <w:color w:val="000000"/>
                <w:lang w:eastAsia="it-IT"/>
              </w:rPr>
              <w:t>Domanda di rimborso</w:t>
            </w:r>
          </w:p>
        </w:tc>
      </w:tr>
      <w:tr w:rsidR="00C444CA" w:rsidRPr="00B50AD7" w14:paraId="3003B7D2" w14:textId="77777777" w:rsidTr="001A2A54">
        <w:trPr>
          <w:trHeight w:val="593"/>
        </w:trPr>
        <w:tc>
          <w:tcPr>
            <w:tcW w:w="154" w:type="pct"/>
            <w:shd w:val="clear" w:color="auto" w:fill="auto"/>
            <w:vAlign w:val="center"/>
          </w:tcPr>
          <w:p w14:paraId="676E74B6" w14:textId="1197F502" w:rsidR="00C444CA" w:rsidRDefault="00485ED6" w:rsidP="00C444C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92" w:type="pct"/>
            <w:shd w:val="clear" w:color="auto" w:fill="auto"/>
            <w:vAlign w:val="center"/>
          </w:tcPr>
          <w:p w14:paraId="13805531" w14:textId="6015E139" w:rsidR="00C444CA" w:rsidRDefault="00C444CA" w:rsidP="00C444C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w:t>
            </w:r>
            <w:r w:rsidRPr="00E51C87">
              <w:rPr>
                <w:rFonts w:ascii="Garamond" w:eastAsia="Times New Roman" w:hAnsi="Garamond" w:cs="Times New Roman"/>
                <w:color w:val="000000"/>
                <w:lang w:eastAsia="it-IT"/>
              </w:rPr>
              <w:t xml:space="preserve"> siano state applicate rettifiche ai costi diretti</w:t>
            </w:r>
            <w:r w:rsidR="00F109BB">
              <w:rPr>
                <w:rFonts w:ascii="Garamond" w:eastAsia="Times New Roman" w:hAnsi="Garamond" w:cs="Times New Roman"/>
                <w:color w:val="000000"/>
                <w:lang w:eastAsia="it-IT"/>
              </w:rPr>
              <w:t xml:space="preserve"> del personale</w:t>
            </w:r>
            <w:r w:rsidRPr="00E51C87">
              <w:rPr>
                <w:rFonts w:ascii="Garamond" w:eastAsia="Times New Roman" w:hAnsi="Garamond" w:cs="Times New Roman"/>
                <w:color w:val="000000"/>
                <w:lang w:eastAsia="it-IT"/>
              </w:rPr>
              <w:t>, sono stati ridotti</w:t>
            </w:r>
            <w:r>
              <w:rPr>
                <w:rFonts w:ascii="Garamond" w:eastAsia="Times New Roman" w:hAnsi="Garamond" w:cs="Times New Roman"/>
                <w:color w:val="000000"/>
                <w:lang w:eastAsia="it-IT"/>
              </w:rPr>
              <w:t xml:space="preserve"> </w:t>
            </w:r>
            <w:r w:rsidRPr="00E51C87">
              <w:rPr>
                <w:rFonts w:ascii="Garamond" w:eastAsia="Times New Roman" w:hAnsi="Garamond" w:cs="Times New Roman"/>
                <w:color w:val="000000"/>
                <w:lang w:eastAsia="it-IT"/>
              </w:rPr>
              <w:t xml:space="preserve">di conseguenza anche i </w:t>
            </w:r>
            <w:r>
              <w:rPr>
                <w:rFonts w:ascii="Garamond" w:eastAsia="Times New Roman" w:hAnsi="Garamond" w:cs="Times New Roman"/>
                <w:color w:val="000000"/>
                <w:lang w:eastAsia="it-IT"/>
              </w:rPr>
              <w:t xml:space="preserve">relativi </w:t>
            </w:r>
            <w:r w:rsidRPr="00E51C87">
              <w:rPr>
                <w:rFonts w:ascii="Garamond" w:eastAsia="Times New Roman" w:hAnsi="Garamond" w:cs="Times New Roman"/>
                <w:color w:val="000000"/>
                <w:lang w:eastAsia="it-IT"/>
              </w:rPr>
              <w:t xml:space="preserve">costi </w:t>
            </w:r>
            <w:r>
              <w:rPr>
                <w:rFonts w:ascii="Garamond" w:eastAsia="Times New Roman" w:hAnsi="Garamond" w:cs="Times New Roman"/>
                <w:color w:val="000000"/>
                <w:lang w:eastAsia="it-IT"/>
              </w:rPr>
              <w:t xml:space="preserve">diretti </w:t>
            </w:r>
            <w:r w:rsidR="00F109BB">
              <w:rPr>
                <w:rFonts w:ascii="Garamond" w:eastAsia="Times New Roman" w:hAnsi="Garamond" w:cs="Times New Roman"/>
                <w:color w:val="000000"/>
                <w:lang w:eastAsia="it-IT"/>
              </w:rPr>
              <w:t>residui</w:t>
            </w:r>
            <w:r>
              <w:rPr>
                <w:rFonts w:ascii="Garamond" w:eastAsia="Times New Roman" w:hAnsi="Garamond" w:cs="Times New Roman"/>
                <w:color w:val="000000"/>
                <w:lang w:eastAsia="it-IT"/>
              </w:rPr>
              <w:t xml:space="preserve"> forfetizzati</w:t>
            </w:r>
            <w:r w:rsidRPr="00E51C87">
              <w:rPr>
                <w:rFonts w:ascii="Garamond" w:eastAsia="Times New Roman" w:hAnsi="Garamond" w:cs="Times New Roman"/>
                <w:color w:val="000000"/>
                <w:lang w:eastAsia="it-IT"/>
              </w:rPr>
              <w:t>?</w:t>
            </w:r>
          </w:p>
        </w:tc>
        <w:tc>
          <w:tcPr>
            <w:tcW w:w="216" w:type="pct"/>
            <w:shd w:val="clear" w:color="auto" w:fill="auto"/>
            <w:vAlign w:val="center"/>
          </w:tcPr>
          <w:p w14:paraId="3D5101EE"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242" w:type="pct"/>
            <w:shd w:val="clear" w:color="auto" w:fill="auto"/>
            <w:vAlign w:val="center"/>
          </w:tcPr>
          <w:p w14:paraId="67C3EC16"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221" w:type="pct"/>
            <w:shd w:val="clear" w:color="auto" w:fill="auto"/>
            <w:vAlign w:val="center"/>
          </w:tcPr>
          <w:p w14:paraId="62450605"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757" w:type="pct"/>
            <w:shd w:val="clear" w:color="auto" w:fill="auto"/>
            <w:vAlign w:val="center"/>
          </w:tcPr>
          <w:p w14:paraId="0D04DB97"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982" w:type="pct"/>
            <w:shd w:val="clear" w:color="auto" w:fill="auto"/>
            <w:vAlign w:val="center"/>
          </w:tcPr>
          <w:p w14:paraId="0E68E74E" w14:textId="77777777" w:rsidR="00C444CA" w:rsidRPr="00B50AD7" w:rsidRDefault="00C444CA" w:rsidP="00C444CA">
            <w:pPr>
              <w:spacing w:after="0" w:line="240" w:lineRule="auto"/>
              <w:rPr>
                <w:rFonts w:ascii="Garamond" w:eastAsia="Times New Roman" w:hAnsi="Garamond" w:cs="Times New Roman"/>
                <w:b/>
                <w:bCs/>
                <w:color w:val="000000"/>
                <w:lang w:eastAsia="it-IT"/>
              </w:rPr>
            </w:pPr>
          </w:p>
        </w:tc>
        <w:tc>
          <w:tcPr>
            <w:tcW w:w="936" w:type="pct"/>
            <w:vAlign w:val="center"/>
          </w:tcPr>
          <w:p w14:paraId="6DF692B1" w14:textId="6C34B3F4" w:rsidR="00D91942" w:rsidRPr="00D91942" w:rsidRDefault="00EB7CB0" w:rsidP="00D91942">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D91942" w:rsidRPr="00D91942">
              <w:rPr>
                <w:rFonts w:ascii="Garamond" w:eastAsia="Times New Roman" w:hAnsi="Garamond" w:cs="Times New Roman"/>
                <w:color w:val="000000"/>
                <w:lang w:eastAsia="it-IT"/>
              </w:rPr>
              <w:t>Scheda di progetto</w:t>
            </w:r>
            <w:r>
              <w:rPr>
                <w:rFonts w:ascii="Garamond" w:eastAsia="Times New Roman" w:hAnsi="Garamond" w:cs="Times New Roman"/>
                <w:color w:val="000000"/>
                <w:lang w:eastAsia="it-IT"/>
              </w:rPr>
              <w:t xml:space="preserve"> con particolare attenzione al piano finanziario)</w:t>
            </w:r>
          </w:p>
          <w:p w14:paraId="697E5EB2" w14:textId="77A936A7" w:rsidR="00C444CA" w:rsidRDefault="00EB7CB0" w:rsidP="00D91942">
            <w:pPr>
              <w:spacing w:after="0" w:line="240" w:lineRule="auto"/>
              <w:rPr>
                <w:rFonts w:ascii="Garamond" w:eastAsia="Times New Roman" w:hAnsi="Garamond" w:cs="Times New Roman"/>
                <w:color w:val="000000"/>
                <w:lang w:eastAsia="it-IT"/>
              </w:rPr>
            </w:pPr>
            <w:r w:rsidRPr="00856B3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D91942" w:rsidRPr="00D91942">
              <w:rPr>
                <w:rFonts w:ascii="Garamond" w:eastAsia="Times New Roman" w:hAnsi="Garamond" w:cs="Times New Roman"/>
                <w:color w:val="000000"/>
                <w:lang w:eastAsia="it-IT"/>
              </w:rPr>
              <w:t>Domanda di rimborso</w:t>
            </w:r>
          </w:p>
        </w:tc>
      </w:tr>
    </w:tbl>
    <w:p w14:paraId="6ED32DF8" w14:textId="0849D87E" w:rsidR="00AA70C9" w:rsidRDefault="00AA70C9"/>
    <w:p w14:paraId="0FDD3956" w14:textId="77777777" w:rsidR="00EC4539" w:rsidRDefault="00EC4539" w:rsidP="00EC4539"/>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C4539" w:rsidRPr="00544D7D" w14:paraId="0CC6D74E" w14:textId="77777777" w:rsidTr="00D97715">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auto" w:fill="92D050"/>
            <w:vAlign w:val="center"/>
            <w:hideMark/>
          </w:tcPr>
          <w:p w14:paraId="34ED4041" w14:textId="77777777" w:rsidR="00EC4539" w:rsidRPr="00544D7D" w:rsidRDefault="00EC4539" w:rsidP="00B64D28">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C4539" w:rsidRPr="00544D7D" w14:paraId="0A9831AB"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33E8F12" w14:textId="77777777" w:rsidR="00EC4539" w:rsidRPr="00544D7D" w:rsidRDefault="00EC4539"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5203872B"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6C657075"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C4539" w:rsidRPr="00544D7D" w14:paraId="02C8A8FD"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0BB615A9" w14:textId="77777777" w:rsidR="00EC4539" w:rsidRPr="00544D7D" w:rsidRDefault="00EC4539"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6369B222"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68E3B5F7"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C4539" w:rsidRPr="00544D7D" w14:paraId="05F1EA7C"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6707A6BC" w14:textId="77777777" w:rsidR="00EC4539" w:rsidRPr="00544D7D" w:rsidRDefault="00EC4539"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2B945650"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74C007A3"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2CBD4AAD" w14:textId="77777777" w:rsidR="00EC4539" w:rsidRDefault="00EC4539" w:rsidP="00EC4539"/>
    <w:tbl>
      <w:tblPr>
        <w:tblStyle w:val="Grigliatabella"/>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C4539" w14:paraId="532300B2" w14:textId="77777777" w:rsidTr="00D97715">
        <w:trPr>
          <w:trHeight w:val="558"/>
        </w:trPr>
        <w:tc>
          <w:tcPr>
            <w:tcW w:w="3539" w:type="dxa"/>
            <w:shd w:val="clear" w:color="auto" w:fill="92D050"/>
            <w:vAlign w:val="center"/>
          </w:tcPr>
          <w:p w14:paraId="74E68817" w14:textId="77777777" w:rsidR="00EC4539" w:rsidRDefault="00EC4539"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AFFD1DE" w14:textId="77777777" w:rsidR="00EC4539" w:rsidRDefault="00EC4539" w:rsidP="00B64D28">
            <w:pPr>
              <w:rPr>
                <w:rFonts w:ascii="Garamond" w:eastAsia="Times New Roman" w:hAnsi="Garamond" w:cs="Times New Roman"/>
                <w:b/>
                <w:sz w:val="24"/>
                <w:szCs w:val="24"/>
                <w:lang w:eastAsia="it-IT"/>
              </w:rPr>
            </w:pPr>
          </w:p>
        </w:tc>
      </w:tr>
      <w:tr w:rsidR="00EC4539" w14:paraId="4FEFFFD8" w14:textId="77777777" w:rsidTr="00D97715">
        <w:trPr>
          <w:trHeight w:val="549"/>
        </w:trPr>
        <w:tc>
          <w:tcPr>
            <w:tcW w:w="3539" w:type="dxa"/>
            <w:shd w:val="clear" w:color="auto" w:fill="92D050"/>
            <w:vAlign w:val="center"/>
          </w:tcPr>
          <w:p w14:paraId="00DE9EB6" w14:textId="77777777" w:rsidR="00EC4539" w:rsidRDefault="00EC4539"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777B4AC3" w14:textId="77777777" w:rsidR="00EC4539" w:rsidRDefault="00EC4539" w:rsidP="00B64D28">
            <w:pPr>
              <w:rPr>
                <w:rFonts w:ascii="Garamond" w:eastAsia="Times New Roman" w:hAnsi="Garamond" w:cs="Times New Roman"/>
                <w:b/>
                <w:sz w:val="24"/>
                <w:szCs w:val="24"/>
                <w:lang w:eastAsia="it-IT"/>
              </w:rPr>
            </w:pPr>
          </w:p>
        </w:tc>
      </w:tr>
      <w:tr w:rsidR="00EC4539" w14:paraId="7235545F" w14:textId="77777777" w:rsidTr="00D97715">
        <w:trPr>
          <w:trHeight w:val="560"/>
        </w:trPr>
        <w:tc>
          <w:tcPr>
            <w:tcW w:w="3539" w:type="dxa"/>
            <w:shd w:val="clear" w:color="auto" w:fill="92D050"/>
            <w:vAlign w:val="center"/>
          </w:tcPr>
          <w:p w14:paraId="4536E127" w14:textId="77777777" w:rsidR="00EC4539" w:rsidRDefault="00EC4539"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65686D48" w14:textId="77777777" w:rsidR="00EC4539" w:rsidRDefault="00EC4539" w:rsidP="00B64D28">
            <w:pPr>
              <w:rPr>
                <w:rFonts w:ascii="Garamond" w:eastAsia="Times New Roman" w:hAnsi="Garamond" w:cs="Times New Roman"/>
                <w:b/>
                <w:sz w:val="24"/>
                <w:szCs w:val="24"/>
                <w:lang w:eastAsia="it-IT"/>
              </w:rPr>
            </w:pPr>
          </w:p>
        </w:tc>
      </w:tr>
      <w:tr w:rsidR="00EC4539" w14:paraId="68132396" w14:textId="77777777" w:rsidTr="00D97715">
        <w:trPr>
          <w:trHeight w:val="568"/>
        </w:trPr>
        <w:tc>
          <w:tcPr>
            <w:tcW w:w="3539" w:type="dxa"/>
            <w:shd w:val="clear" w:color="auto" w:fill="92D050"/>
            <w:vAlign w:val="center"/>
          </w:tcPr>
          <w:p w14:paraId="02F2ABF7" w14:textId="77777777" w:rsidR="00EC4539" w:rsidRDefault="00EC4539"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32BBC220" w14:textId="77777777" w:rsidR="00EC4539" w:rsidRDefault="00EC4539" w:rsidP="00B64D28">
            <w:pPr>
              <w:rPr>
                <w:rFonts w:ascii="Garamond" w:eastAsia="Times New Roman" w:hAnsi="Garamond" w:cs="Times New Roman"/>
                <w:b/>
                <w:sz w:val="24"/>
                <w:szCs w:val="24"/>
                <w:lang w:eastAsia="it-IT"/>
              </w:rPr>
            </w:pPr>
          </w:p>
        </w:tc>
      </w:tr>
    </w:tbl>
    <w:p w14:paraId="414919CB" w14:textId="77777777" w:rsidR="00EC4539" w:rsidRDefault="00EC4539" w:rsidP="00EC4539"/>
    <w:p w14:paraId="2C6F5498" w14:textId="77777777" w:rsidR="00EC4539" w:rsidRDefault="00EC4539" w:rsidP="00EC4539"/>
    <w:p w14:paraId="460D0883" w14:textId="77777777" w:rsidR="00EC4539" w:rsidRDefault="00EC4539" w:rsidP="00EC4539"/>
    <w:p w14:paraId="7D0C5364" w14:textId="77777777" w:rsidR="00EC4539" w:rsidRDefault="00EC4539" w:rsidP="00EC4539"/>
    <w:p w14:paraId="5CE8204F" w14:textId="77777777" w:rsidR="00EC4539" w:rsidRDefault="00EC4539" w:rsidP="00EC4539"/>
    <w:p w14:paraId="502C4FA3" w14:textId="77777777" w:rsidR="00EC4539" w:rsidRDefault="00EC4539" w:rsidP="00EC4539"/>
    <w:tbl>
      <w:tblPr>
        <w:tblW w:w="4031" w:type="pct"/>
        <w:jc w:val="center"/>
        <w:tblLayout w:type="fixed"/>
        <w:tblCellMar>
          <w:left w:w="70" w:type="dxa"/>
          <w:right w:w="70" w:type="dxa"/>
        </w:tblCellMar>
        <w:tblLook w:val="04A0" w:firstRow="1" w:lastRow="0" w:firstColumn="1" w:lastColumn="0" w:noHBand="0" w:noVBand="1"/>
      </w:tblPr>
      <w:tblGrid>
        <w:gridCol w:w="11502"/>
      </w:tblGrid>
      <w:tr w:rsidR="00EC4539" w:rsidRPr="00544D7D" w14:paraId="1DBEB48A" w14:textId="77777777" w:rsidTr="00D97715">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auto" w:fill="92D050"/>
            <w:vAlign w:val="center"/>
            <w:hideMark/>
          </w:tcPr>
          <w:p w14:paraId="4EF8115B" w14:textId="77777777" w:rsidR="00EC4539" w:rsidRPr="00544D7D" w:rsidRDefault="00EC4539"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C4539" w:rsidRPr="00544D7D" w14:paraId="5F9F7CEF"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3820DBDD"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p>
        </w:tc>
      </w:tr>
      <w:tr w:rsidR="00EC4539" w:rsidRPr="00544D7D" w14:paraId="0C5003DF" w14:textId="77777777" w:rsidTr="00D97715">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hideMark/>
          </w:tcPr>
          <w:p w14:paraId="0488B9E4" w14:textId="77777777" w:rsidR="00EC4539" w:rsidRPr="00544D7D" w:rsidRDefault="00EC4539"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C4539" w:rsidRPr="00544D7D" w14:paraId="4F7D15A4"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4B143A5"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p>
        </w:tc>
      </w:tr>
      <w:tr w:rsidR="00EC4539" w:rsidRPr="00544D7D" w14:paraId="70CE053B" w14:textId="77777777" w:rsidTr="00D97715">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92D050"/>
            <w:vAlign w:val="center"/>
          </w:tcPr>
          <w:p w14:paraId="0CB4026F"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C4539" w:rsidRPr="00544D7D" w14:paraId="1773FB53"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2AABAF62" w14:textId="77777777" w:rsidR="00EC4539" w:rsidRPr="00544D7D" w:rsidRDefault="00EC4539" w:rsidP="00B64D28">
            <w:pPr>
              <w:spacing w:after="0" w:line="240" w:lineRule="auto"/>
              <w:jc w:val="center"/>
              <w:rPr>
                <w:rFonts w:ascii="Garamond" w:eastAsia="Times New Roman" w:hAnsi="Garamond" w:cs="Times New Roman"/>
                <w:color w:val="000000"/>
                <w:lang w:eastAsia="it-IT"/>
              </w:rPr>
            </w:pPr>
          </w:p>
        </w:tc>
      </w:tr>
    </w:tbl>
    <w:p w14:paraId="577D65E2" w14:textId="77777777" w:rsidR="00EC4539" w:rsidRPr="00544D7D" w:rsidRDefault="00EC4539" w:rsidP="00EC4539">
      <w:pPr>
        <w:rPr>
          <w:rFonts w:ascii="Garamond" w:hAnsi="Garamond"/>
        </w:rPr>
      </w:pPr>
    </w:p>
    <w:p w14:paraId="00BA7AED" w14:textId="77777777" w:rsidR="00EC4539" w:rsidRDefault="00EC4539" w:rsidP="00EC4539">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C4539" w:rsidRPr="00EC3B0D" w14:paraId="5DFBCC79"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0A9830" w14:textId="77777777" w:rsidR="00EC4539" w:rsidRPr="00EC3B0D" w:rsidRDefault="00EC4539"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A7D24DB" w14:textId="77777777" w:rsidR="00EC4539" w:rsidRPr="00EC3B0D" w:rsidRDefault="00EC4539" w:rsidP="00B64D28">
            <w:pPr>
              <w:jc w:val="center"/>
              <w:rPr>
                <w:rFonts w:ascii="Garamond" w:hAnsi="Garamond" w:cs="Calibri"/>
              </w:rPr>
            </w:pPr>
            <w:r w:rsidRPr="00EC3B0D">
              <w:rPr>
                <w:rFonts w:ascii="Garamond" w:hAnsi="Garamond" w:cs="Calibri"/>
              </w:rPr>
              <w:t>___/___/_____</w:t>
            </w:r>
          </w:p>
        </w:tc>
      </w:tr>
      <w:tr w:rsidR="00EC4539" w:rsidRPr="00EC3B0D" w14:paraId="72E3DFF1"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1FE01720" w14:textId="77777777" w:rsidR="00EC4539" w:rsidRPr="00EC3B0D" w:rsidRDefault="00EC4539"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C4539" w:rsidRPr="00EC3B0D" w14:paraId="179A40C3"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B131F08" w14:textId="77777777" w:rsidR="00EC4539" w:rsidRPr="00EC3B0D" w:rsidRDefault="00EC4539"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13B33DED" w14:textId="77777777" w:rsidR="00EC4539" w:rsidRDefault="00EC4539" w:rsidP="00EC4539">
      <w:pPr>
        <w:rPr>
          <w:rFonts w:ascii="Garamond" w:hAnsi="Garamond"/>
        </w:rPr>
      </w:pPr>
    </w:p>
    <w:p w14:paraId="5E5B72B4" w14:textId="77777777" w:rsidR="00EC4539" w:rsidRDefault="00EC4539" w:rsidP="00EC4539">
      <w:pPr>
        <w:rPr>
          <w:rFonts w:ascii="Garamond" w:hAnsi="Garamond"/>
        </w:rPr>
      </w:pPr>
    </w:p>
    <w:p w14:paraId="754C59C6" w14:textId="77777777" w:rsidR="00EC4539" w:rsidRDefault="00EC4539" w:rsidP="00EC4539">
      <w:pPr>
        <w:rPr>
          <w:rFonts w:ascii="Garamond" w:hAnsi="Garamond"/>
        </w:rPr>
      </w:pPr>
    </w:p>
    <w:p w14:paraId="0D1D00D6" w14:textId="77777777" w:rsidR="00EC4539" w:rsidRDefault="00EC4539" w:rsidP="00EC4539"/>
    <w:p w14:paraId="2CB5C79E" w14:textId="77777777" w:rsidR="00EC4539" w:rsidRDefault="00EC4539" w:rsidP="00EC4539"/>
    <w:p w14:paraId="54B7C2E0" w14:textId="77777777" w:rsidR="00EC4539" w:rsidRDefault="00EC4539" w:rsidP="00EC4539"/>
    <w:p w14:paraId="3E1886F6" w14:textId="77777777" w:rsidR="00031214" w:rsidRDefault="00031214" w:rsidP="00EC4539"/>
    <w:sectPr w:rsidR="00031214" w:rsidSect="00900721">
      <w:pgSz w:w="16838" w:h="11906" w:orient="landscape"/>
      <w:pgMar w:top="1134"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2E9CD" w14:textId="77777777" w:rsidR="000571DE" w:rsidRDefault="000571DE" w:rsidP="00482081">
      <w:pPr>
        <w:spacing w:after="0" w:line="240" w:lineRule="auto"/>
      </w:pPr>
      <w:r>
        <w:separator/>
      </w:r>
    </w:p>
  </w:endnote>
  <w:endnote w:type="continuationSeparator" w:id="0">
    <w:p w14:paraId="3CF202C0" w14:textId="77777777" w:rsidR="000571DE" w:rsidRDefault="000571DE"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9346404"/>
      <w:docPartObj>
        <w:docPartGallery w:val="Page Numbers (Bottom of Page)"/>
        <w:docPartUnique/>
      </w:docPartObj>
    </w:sdtPr>
    <w:sdtEndPr/>
    <w:sdtContent>
      <w:p w14:paraId="0211E4EE" w14:textId="1C7A6426" w:rsidR="00C16034" w:rsidRDefault="00C16034">
        <w:pPr>
          <w:pStyle w:val="Pidipagina"/>
          <w:jc w:val="right"/>
        </w:pPr>
        <w:r>
          <w:fldChar w:fldCharType="begin"/>
        </w:r>
        <w:r>
          <w:instrText>PAGE   \* MERGEFORMAT</w:instrText>
        </w:r>
        <w:r>
          <w:fldChar w:fldCharType="separate"/>
        </w:r>
        <w:r>
          <w:t>2</w:t>
        </w:r>
        <w:r>
          <w:fldChar w:fldCharType="end"/>
        </w:r>
      </w:p>
    </w:sdtContent>
  </w:sdt>
  <w:p w14:paraId="62B9DE34" w14:textId="77777777" w:rsidR="002852B5" w:rsidRDefault="002852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5F661" w14:textId="77777777" w:rsidR="000571DE" w:rsidRDefault="000571DE" w:rsidP="00482081">
      <w:pPr>
        <w:spacing w:after="0" w:line="240" w:lineRule="auto"/>
      </w:pPr>
      <w:r>
        <w:separator/>
      </w:r>
    </w:p>
  </w:footnote>
  <w:footnote w:type="continuationSeparator" w:id="0">
    <w:p w14:paraId="225CE58D" w14:textId="77777777" w:rsidR="000571DE" w:rsidRDefault="000571DE" w:rsidP="00482081">
      <w:pPr>
        <w:spacing w:after="0" w:line="240" w:lineRule="auto"/>
      </w:pPr>
      <w:r>
        <w:continuationSeparator/>
      </w:r>
    </w:p>
  </w:footnote>
  <w:footnote w:id="1">
    <w:p w14:paraId="4067D0DC" w14:textId="6E36F460" w:rsidR="00693026" w:rsidRDefault="00693026">
      <w:pPr>
        <w:pStyle w:val="Testonotaapidipagina"/>
      </w:pPr>
      <w:r>
        <w:rPr>
          <w:rStyle w:val="Rimandonotaapidipagina"/>
        </w:rPr>
        <w:footnoteRef/>
      </w:r>
      <w:r>
        <w:t xml:space="preserve"> </w:t>
      </w:r>
      <w:r w:rsidR="00F01230">
        <w:rPr>
          <w:rFonts w:ascii="Garamond" w:hAnsi="Garamond"/>
          <w:sz w:val="18"/>
          <w:szCs w:val="18"/>
        </w:rPr>
        <w:t>Viene indicato,</w:t>
      </w:r>
      <w:r w:rsidR="00F01230"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 w:id="2">
    <w:p w14:paraId="2D734228" w14:textId="65915CCD" w:rsidR="00B279A0" w:rsidRPr="00F01230" w:rsidRDefault="00B279A0" w:rsidP="00900721">
      <w:pPr>
        <w:pStyle w:val="Testonotaapidipagina"/>
        <w:jc w:val="both"/>
        <w:rPr>
          <w:rFonts w:ascii="Garamond" w:hAnsi="Garamond"/>
          <w:i/>
          <w:iCs/>
          <w:sz w:val="18"/>
          <w:szCs w:val="18"/>
        </w:rPr>
      </w:pPr>
      <w:r w:rsidRPr="00900721">
        <w:rPr>
          <w:rStyle w:val="Rimandonotaapidipagina"/>
          <w:rFonts w:ascii="Garamond" w:hAnsi="Garamond"/>
        </w:rPr>
        <w:footnoteRef/>
      </w:r>
      <w:r w:rsidRPr="00900721">
        <w:rPr>
          <w:rFonts w:ascii="Garamond" w:hAnsi="Garamond"/>
        </w:rPr>
        <w:t xml:space="preserve"> </w:t>
      </w:r>
      <w:r w:rsidR="00B722F5" w:rsidRPr="00F01230">
        <w:rPr>
          <w:rFonts w:ascii="Garamond" w:hAnsi="Garamond"/>
          <w:sz w:val="18"/>
          <w:szCs w:val="18"/>
        </w:rPr>
        <w:t xml:space="preserve">Ex art. </w:t>
      </w:r>
      <w:r w:rsidR="001B6179" w:rsidRPr="00F01230">
        <w:rPr>
          <w:rFonts w:ascii="Garamond" w:hAnsi="Garamond"/>
          <w:sz w:val="18"/>
          <w:szCs w:val="18"/>
        </w:rPr>
        <w:t>53, Reg. (UE) 2021</w:t>
      </w:r>
      <w:r w:rsidR="00BA063E" w:rsidRPr="00F01230">
        <w:rPr>
          <w:rFonts w:ascii="Garamond" w:hAnsi="Garamond"/>
          <w:sz w:val="18"/>
          <w:szCs w:val="18"/>
        </w:rPr>
        <w:t>/1060</w:t>
      </w:r>
      <w:r w:rsidR="001B6179" w:rsidRPr="00F01230">
        <w:rPr>
          <w:rFonts w:ascii="Garamond" w:hAnsi="Garamond"/>
          <w:sz w:val="18"/>
          <w:szCs w:val="18"/>
        </w:rPr>
        <w:t>, comma 1, lett</w:t>
      </w:r>
      <w:r w:rsidR="001B6179" w:rsidRPr="00F01230">
        <w:rPr>
          <w:rFonts w:ascii="Garamond" w:hAnsi="Garamond"/>
          <w:i/>
          <w:iCs/>
          <w:sz w:val="18"/>
          <w:szCs w:val="18"/>
        </w:rPr>
        <w:t xml:space="preserve">. </w:t>
      </w:r>
      <w:r w:rsidR="00D772E8" w:rsidRPr="00F01230">
        <w:rPr>
          <w:rFonts w:ascii="Garamond" w:hAnsi="Garamond"/>
          <w:i/>
          <w:iCs/>
          <w:sz w:val="18"/>
          <w:szCs w:val="18"/>
        </w:rPr>
        <w:t>“</w:t>
      </w:r>
      <w:r w:rsidR="001B6179" w:rsidRPr="00F01230">
        <w:rPr>
          <w:rFonts w:ascii="Garamond" w:hAnsi="Garamond"/>
          <w:i/>
          <w:iCs/>
          <w:sz w:val="18"/>
          <w:szCs w:val="18"/>
        </w:rPr>
        <w:t xml:space="preserve">b) </w:t>
      </w:r>
      <w:r w:rsidR="00B722F5" w:rsidRPr="00F01230">
        <w:rPr>
          <w:rFonts w:ascii="Garamond" w:hAnsi="Garamond"/>
          <w:i/>
          <w:iCs/>
          <w:sz w:val="18"/>
          <w:szCs w:val="18"/>
        </w:rPr>
        <w:t>costi unitari;</w:t>
      </w:r>
      <w:r w:rsidR="001B6179" w:rsidRPr="00F01230">
        <w:rPr>
          <w:rFonts w:ascii="Garamond" w:hAnsi="Garamond"/>
          <w:i/>
          <w:iCs/>
          <w:sz w:val="18"/>
          <w:szCs w:val="18"/>
        </w:rPr>
        <w:t xml:space="preserve"> </w:t>
      </w:r>
      <w:r w:rsidR="00B722F5" w:rsidRPr="00F01230">
        <w:rPr>
          <w:rFonts w:ascii="Garamond" w:hAnsi="Garamond"/>
          <w:i/>
          <w:iCs/>
          <w:sz w:val="18"/>
          <w:szCs w:val="18"/>
        </w:rPr>
        <w:t>c)</w:t>
      </w:r>
      <w:r w:rsidR="00A60440" w:rsidRPr="00F01230">
        <w:rPr>
          <w:rFonts w:ascii="Garamond" w:hAnsi="Garamond"/>
          <w:i/>
          <w:iCs/>
          <w:sz w:val="18"/>
          <w:szCs w:val="18"/>
        </w:rPr>
        <w:t xml:space="preserve"> </w:t>
      </w:r>
      <w:r w:rsidR="00B722F5" w:rsidRPr="00F01230">
        <w:rPr>
          <w:rFonts w:ascii="Garamond" w:hAnsi="Garamond"/>
          <w:i/>
          <w:iCs/>
          <w:sz w:val="18"/>
          <w:szCs w:val="18"/>
        </w:rPr>
        <w:t>somme forfettarie;</w:t>
      </w:r>
      <w:r w:rsidR="001B6179" w:rsidRPr="00F01230">
        <w:rPr>
          <w:rFonts w:ascii="Garamond" w:hAnsi="Garamond"/>
          <w:i/>
          <w:iCs/>
          <w:sz w:val="18"/>
          <w:szCs w:val="18"/>
        </w:rPr>
        <w:t xml:space="preserve"> </w:t>
      </w:r>
      <w:r w:rsidR="00B722F5" w:rsidRPr="00F01230">
        <w:rPr>
          <w:rFonts w:ascii="Garamond" w:hAnsi="Garamond"/>
          <w:i/>
          <w:iCs/>
          <w:sz w:val="18"/>
          <w:szCs w:val="18"/>
        </w:rPr>
        <w:t>d)</w:t>
      </w:r>
      <w:r w:rsidR="00D5092D" w:rsidRPr="00F01230">
        <w:rPr>
          <w:rFonts w:ascii="Garamond" w:hAnsi="Garamond"/>
          <w:i/>
          <w:iCs/>
          <w:sz w:val="18"/>
          <w:szCs w:val="18"/>
        </w:rPr>
        <w:t xml:space="preserve"> </w:t>
      </w:r>
      <w:r w:rsidR="00B722F5" w:rsidRPr="00F01230">
        <w:rPr>
          <w:rFonts w:ascii="Garamond" w:hAnsi="Garamond"/>
          <w:i/>
          <w:iCs/>
          <w:sz w:val="18"/>
          <w:szCs w:val="18"/>
        </w:rPr>
        <w:t>finanziamenti a tasso forfettario;</w:t>
      </w:r>
      <w:r w:rsidR="001B6179" w:rsidRPr="00F01230">
        <w:rPr>
          <w:rFonts w:ascii="Garamond" w:hAnsi="Garamond"/>
          <w:i/>
          <w:iCs/>
          <w:sz w:val="18"/>
          <w:szCs w:val="18"/>
        </w:rPr>
        <w:t xml:space="preserve"> </w:t>
      </w:r>
      <w:r w:rsidR="00B722F5" w:rsidRPr="00F01230">
        <w:rPr>
          <w:rFonts w:ascii="Garamond" w:hAnsi="Garamond"/>
          <w:i/>
          <w:iCs/>
          <w:sz w:val="18"/>
          <w:szCs w:val="18"/>
        </w:rPr>
        <w:t>e)</w:t>
      </w:r>
      <w:r w:rsidR="001B7AD7" w:rsidRPr="00F01230">
        <w:rPr>
          <w:rFonts w:ascii="Garamond" w:hAnsi="Garamond"/>
          <w:i/>
          <w:iCs/>
          <w:sz w:val="18"/>
          <w:szCs w:val="18"/>
        </w:rPr>
        <w:t xml:space="preserve"> </w:t>
      </w:r>
      <w:r w:rsidR="00B722F5" w:rsidRPr="00F01230">
        <w:rPr>
          <w:rFonts w:ascii="Garamond" w:hAnsi="Garamond"/>
          <w:i/>
          <w:iCs/>
          <w:sz w:val="18"/>
          <w:szCs w:val="18"/>
        </w:rPr>
        <w:t>una combinazione delle forme di cui alle lettere da a) a d), a condizione che ciascuna forma copra diverse categorie di costi, o che siano utilizzati per progetti diversi facenti parte di un’operazione o per fasi successive di un’operazione;</w:t>
      </w:r>
      <w:r w:rsidR="001B6179" w:rsidRPr="00F01230">
        <w:rPr>
          <w:rFonts w:ascii="Garamond" w:hAnsi="Garamond"/>
          <w:i/>
          <w:iCs/>
          <w:sz w:val="18"/>
          <w:szCs w:val="18"/>
        </w:rPr>
        <w:t xml:space="preserve"> </w:t>
      </w:r>
      <w:r w:rsidR="00B722F5" w:rsidRPr="00F01230">
        <w:rPr>
          <w:rFonts w:ascii="Garamond" w:hAnsi="Garamond"/>
          <w:i/>
          <w:iCs/>
          <w:sz w:val="18"/>
          <w:szCs w:val="18"/>
        </w:rPr>
        <w:t>f)</w:t>
      </w:r>
      <w:r w:rsidR="00A60440" w:rsidRPr="00F01230">
        <w:rPr>
          <w:rFonts w:ascii="Garamond" w:hAnsi="Garamond"/>
          <w:i/>
          <w:iCs/>
          <w:sz w:val="18"/>
          <w:szCs w:val="18"/>
        </w:rPr>
        <w:t xml:space="preserve"> </w:t>
      </w:r>
      <w:r w:rsidR="00B722F5" w:rsidRPr="00F01230">
        <w:rPr>
          <w:rFonts w:ascii="Garamond" w:hAnsi="Garamond"/>
          <w:i/>
          <w:iCs/>
          <w:sz w:val="18"/>
          <w:szCs w:val="18"/>
        </w:rPr>
        <w:t>finanziamenti non collegati ai costi, purché tali sovvenzioni siano coperte da un rimborso del contributo dell’Unione a norma dell’articolo 95</w:t>
      </w:r>
      <w:r w:rsidR="00D772E8" w:rsidRPr="00F01230">
        <w:rPr>
          <w:rFonts w:ascii="Garamond" w:hAnsi="Garamond"/>
          <w:i/>
          <w:iCs/>
          <w:sz w:val="18"/>
          <w:szCs w:val="18"/>
        </w:rPr>
        <w:t>”</w:t>
      </w:r>
      <w:r w:rsidR="00B722F5" w:rsidRPr="00F01230">
        <w:rPr>
          <w:rFonts w:ascii="Garamond" w:hAnsi="Garamond"/>
          <w:i/>
          <w:iCs/>
          <w:sz w:val="18"/>
          <w:szCs w:val="18"/>
        </w:rPr>
        <w:t xml:space="preserve">. </w:t>
      </w:r>
    </w:p>
  </w:footnote>
  <w:footnote w:id="3">
    <w:p w14:paraId="2F731CF5" w14:textId="2FC12B87" w:rsidR="008F61B4" w:rsidRPr="00F01230" w:rsidRDefault="008F61B4" w:rsidP="00900721">
      <w:pPr>
        <w:pStyle w:val="Testonotaapidipagina"/>
        <w:jc w:val="both"/>
        <w:rPr>
          <w:rFonts w:ascii="Garamond" w:hAnsi="Garamond"/>
          <w:sz w:val="18"/>
          <w:szCs w:val="18"/>
        </w:rPr>
      </w:pPr>
      <w:r w:rsidRPr="00900721">
        <w:rPr>
          <w:rStyle w:val="Rimandonotaapidipagina"/>
          <w:rFonts w:ascii="Garamond" w:hAnsi="Garamond"/>
        </w:rPr>
        <w:footnoteRef/>
      </w:r>
      <w:r w:rsidRPr="00900721">
        <w:rPr>
          <w:rFonts w:ascii="Garamond" w:hAnsi="Garamond"/>
        </w:rPr>
        <w:t xml:space="preserve"> </w:t>
      </w:r>
      <w:r w:rsidRPr="00F01230">
        <w:rPr>
          <w:rFonts w:ascii="Garamond" w:hAnsi="Garamond"/>
          <w:i/>
          <w:iCs/>
          <w:sz w:val="18"/>
          <w:szCs w:val="18"/>
        </w:rPr>
        <w:t>“Gli importi delle forme di sovvenzioni di cui alle lettere b), c) e d) del paragrafo 1 sono stabiliti in uno dei modi seguenti: a) un metodo di calcolo giusto, equo e verificabile […]; b) progetti di bilancio redatti caso per caso e approvati ex ante dall’organismo che seleziona l’operazione, ove il costo totale dell’operazione non superi 200 000EUR; c) conformemente alle norme di applicazione dei corrispondenti costi unitari, somme forfettarie e tassi forfettari applicabili nelle politiche dell’Unione per tipologie analoghe di operazioni; d) conformemente alle norme di applicazione dei corrispondenti costi unitari, somme forfettarie e tassi forfettari applicati in meccanismi di sovvenzione finanziati totalmente dallo Stato membro per tipologie analoghe di operazioni; e) tassi forfettari e metodi specifici previsti dal presente regolamento o dai regolamenti specifici relativi a ciascun fondo o stabiliti sulla base degli stessi”.</w:t>
      </w:r>
    </w:p>
  </w:footnote>
  <w:footnote w:id="4">
    <w:p w14:paraId="766DB555" w14:textId="56E4C00A" w:rsidR="00853006" w:rsidRPr="00A76A92" w:rsidRDefault="00853006" w:rsidP="00900721">
      <w:pPr>
        <w:pStyle w:val="Testonotaapidipagina"/>
        <w:jc w:val="both"/>
        <w:rPr>
          <w:rFonts w:ascii="Garamond" w:hAnsi="Garamond"/>
          <w:sz w:val="16"/>
          <w:szCs w:val="16"/>
        </w:rPr>
      </w:pPr>
      <w:r w:rsidRPr="00900721">
        <w:rPr>
          <w:rStyle w:val="Rimandonotaapidipagina"/>
          <w:rFonts w:ascii="Garamond" w:hAnsi="Garamond"/>
        </w:rPr>
        <w:footnoteRef/>
      </w:r>
      <w:r w:rsidRPr="00900721">
        <w:rPr>
          <w:rFonts w:ascii="Garamond" w:hAnsi="Garamond"/>
        </w:rPr>
        <w:t xml:space="preserve"> </w:t>
      </w:r>
      <w:r w:rsidRPr="00F01230">
        <w:rPr>
          <w:rFonts w:ascii="Garamond" w:hAnsi="Garamond"/>
          <w:sz w:val="18"/>
          <w:szCs w:val="18"/>
        </w:rPr>
        <w:t xml:space="preserve">Il metodo di calcolo giusto, equo e verificabile deve basarsi, come prescrive l’art. 53, comma 3, lett. su: </w:t>
      </w:r>
      <w:r w:rsidR="00D8194C" w:rsidRPr="00F01230">
        <w:rPr>
          <w:rFonts w:ascii="Garamond" w:hAnsi="Garamond"/>
          <w:i/>
          <w:iCs/>
          <w:sz w:val="18"/>
          <w:szCs w:val="18"/>
        </w:rPr>
        <w:t>“</w:t>
      </w:r>
      <w:r w:rsidRPr="00F01230">
        <w:rPr>
          <w:rFonts w:ascii="Garamond" w:hAnsi="Garamond"/>
          <w:i/>
          <w:iCs/>
          <w:sz w:val="18"/>
          <w:szCs w:val="18"/>
        </w:rPr>
        <w:t>dati statistici, altre informazioni obiettive o valutazioni di esperti; dati storici verificati dei singoli beneficiari; l’applicazione delle normali prassi di contabilità dei costi dei singoli beneficiari</w:t>
      </w:r>
      <w:r w:rsidR="00D8194C" w:rsidRPr="00F01230">
        <w:rPr>
          <w:rFonts w:ascii="Garamond" w:hAnsi="Garamond"/>
          <w:i/>
          <w:iCs/>
          <w:sz w:val="18"/>
          <w:szCs w:val="18"/>
        </w:rPr>
        <w:t>”</w:t>
      </w:r>
      <w:r w:rsidRPr="00F01230">
        <w:rPr>
          <w:rFonts w:ascii="Garamond" w:hAnsi="Garamond"/>
          <w:sz w:val="18"/>
          <w:szCs w:val="18"/>
        </w:rPr>
        <w:t>.</w:t>
      </w:r>
      <w:r w:rsidRPr="00900721">
        <w:rPr>
          <w:rFonts w:ascii="Garamond" w:hAnsi="Garamond"/>
          <w:sz w:val="16"/>
          <w:szCs w:val="16"/>
        </w:rPr>
        <w:t xml:space="preserve"> </w:t>
      </w:r>
    </w:p>
  </w:footnote>
  <w:footnote w:id="5">
    <w:p w14:paraId="6CD98318" w14:textId="77777777" w:rsidR="000A6697" w:rsidRPr="00400DF3" w:rsidRDefault="000A6697" w:rsidP="000A6697">
      <w:pPr>
        <w:pStyle w:val="Testonotaapidipagina"/>
        <w:jc w:val="both"/>
        <w:rPr>
          <w:rFonts w:ascii="Garamond" w:hAnsi="Garamond"/>
          <w:sz w:val="16"/>
          <w:szCs w:val="16"/>
        </w:rPr>
      </w:pPr>
      <w:r w:rsidRPr="00900721">
        <w:rPr>
          <w:rStyle w:val="Rimandonotaapidipagina"/>
          <w:rFonts w:ascii="Garamond" w:hAnsi="Garamond"/>
        </w:rPr>
        <w:footnoteRef/>
      </w:r>
      <w:r w:rsidRPr="00900721">
        <w:rPr>
          <w:rFonts w:ascii="Garamond" w:hAnsi="Garamond"/>
        </w:rPr>
        <w:t xml:space="preserve"> </w:t>
      </w:r>
      <w:r w:rsidRPr="00F01230">
        <w:rPr>
          <w:rFonts w:ascii="Garamond" w:hAnsi="Garamond"/>
          <w:sz w:val="18"/>
          <w:szCs w:val="18"/>
        </w:rPr>
        <w:t xml:space="preserve">La documentazione attestante la metodologia ex ante di calcolo deve prevedere: </w:t>
      </w:r>
      <w:r w:rsidRPr="00F01230">
        <w:rPr>
          <w:rFonts w:ascii="Garamond" w:hAnsi="Garamond"/>
          <w:i/>
          <w:iCs/>
          <w:sz w:val="18"/>
          <w:szCs w:val="18"/>
        </w:rPr>
        <w:t>“a) la descrizione del metodo di calcolo, comprese le principali fasi del calcolo stesso; b) le fonti dei dati usati per l'analisi e per i calcoli, compresa una valutazione della pertinenza dei dati rispetto alle operazioni previste, nonché una valutazione della qualità dei dati; c) il calcolo stesso volto a determinare il valore dell'opzione semplificata adottata”</w:t>
      </w:r>
      <w:r w:rsidRPr="00F01230">
        <w:rPr>
          <w:rFonts w:ascii="Garamond" w:hAnsi="Garamond"/>
          <w:sz w:val="18"/>
          <w:szCs w:val="18"/>
        </w:rPr>
        <w:t>.</w:t>
      </w:r>
      <w:r>
        <w:t xml:space="preserve"> </w:t>
      </w:r>
    </w:p>
  </w:footnote>
  <w:footnote w:id="6">
    <w:p w14:paraId="2BD1D41A" w14:textId="283B36FE" w:rsidR="0042300C" w:rsidRPr="00F01230" w:rsidRDefault="0042300C" w:rsidP="00D648B5">
      <w:pPr>
        <w:pStyle w:val="Testonotaapidipagina"/>
        <w:numPr>
          <w:ilvl w:val="0"/>
          <w:numId w:val="5"/>
        </w:numPr>
        <w:jc w:val="both"/>
        <w:rPr>
          <w:rFonts w:ascii="Garamond" w:hAnsi="Garamond"/>
          <w:i/>
          <w:iCs/>
          <w:sz w:val="18"/>
          <w:szCs w:val="18"/>
        </w:rPr>
      </w:pPr>
      <w:r>
        <w:rPr>
          <w:rStyle w:val="Rimandonotaapidipagina"/>
        </w:rPr>
        <w:footnoteRef/>
      </w:r>
      <w:r>
        <w:t xml:space="preserve"> </w:t>
      </w:r>
      <w:r w:rsidRPr="00F01230">
        <w:rPr>
          <w:rFonts w:ascii="Garamond" w:hAnsi="Garamond"/>
          <w:sz w:val="18"/>
          <w:szCs w:val="18"/>
        </w:rPr>
        <w:t>Come da art. 54, lett. a) e b)</w:t>
      </w:r>
      <w:r w:rsidR="00B76C06" w:rsidRPr="00F01230">
        <w:rPr>
          <w:rFonts w:ascii="Garamond" w:hAnsi="Garamond"/>
          <w:sz w:val="18"/>
          <w:szCs w:val="18"/>
        </w:rPr>
        <w:t xml:space="preserve"> del Reg. (UE) 2021</w:t>
      </w:r>
      <w:r w:rsidR="00BA063E" w:rsidRPr="00F01230">
        <w:rPr>
          <w:rFonts w:ascii="Garamond" w:hAnsi="Garamond"/>
          <w:sz w:val="18"/>
          <w:szCs w:val="18"/>
        </w:rPr>
        <w:t>/1060</w:t>
      </w:r>
      <w:r w:rsidR="00B76C06" w:rsidRPr="00F01230">
        <w:rPr>
          <w:rFonts w:ascii="Garamond" w:hAnsi="Garamond"/>
          <w:sz w:val="18"/>
          <w:szCs w:val="18"/>
        </w:rPr>
        <w:t xml:space="preserve">, </w:t>
      </w:r>
      <w:r w:rsidR="00B76C06" w:rsidRPr="00F01230">
        <w:rPr>
          <w:rFonts w:ascii="Garamond" w:hAnsi="Garamond"/>
          <w:i/>
          <w:iCs/>
          <w:sz w:val="18"/>
          <w:szCs w:val="18"/>
        </w:rPr>
        <w:t>“</w:t>
      </w:r>
      <w:r w:rsidR="00F137BC" w:rsidRPr="00F01230">
        <w:rPr>
          <w:rFonts w:ascii="Garamond" w:hAnsi="Garamond"/>
          <w:i/>
          <w:iCs/>
          <w:sz w:val="18"/>
          <w:szCs w:val="18"/>
        </w:rPr>
        <w:t xml:space="preserve">a) </w:t>
      </w:r>
      <w:r w:rsidRPr="00F01230">
        <w:rPr>
          <w:rFonts w:ascii="Garamond" w:hAnsi="Garamond"/>
          <w:i/>
          <w:iCs/>
          <w:sz w:val="18"/>
          <w:szCs w:val="18"/>
        </w:rPr>
        <w:t>fino al 7 % dei costi diretti ammissibili, nel qual caso lo Stato membro non è tenuto a eseguire un calcolo per determinare il tasso applicabile;</w:t>
      </w:r>
      <w:r w:rsidR="00B76C06" w:rsidRPr="00F01230">
        <w:rPr>
          <w:rFonts w:ascii="Garamond" w:hAnsi="Garamond"/>
          <w:i/>
          <w:iCs/>
          <w:sz w:val="18"/>
          <w:szCs w:val="18"/>
        </w:rPr>
        <w:t xml:space="preserve"> </w:t>
      </w:r>
      <w:r w:rsidR="00F137BC" w:rsidRPr="00F01230">
        <w:rPr>
          <w:rFonts w:ascii="Garamond" w:hAnsi="Garamond"/>
          <w:i/>
          <w:iCs/>
          <w:sz w:val="18"/>
          <w:szCs w:val="18"/>
        </w:rPr>
        <w:t xml:space="preserve">b) </w:t>
      </w:r>
      <w:r w:rsidRPr="00F01230">
        <w:rPr>
          <w:rFonts w:ascii="Garamond" w:hAnsi="Garamond"/>
          <w:i/>
          <w:iCs/>
          <w:sz w:val="18"/>
          <w:szCs w:val="18"/>
        </w:rPr>
        <w:t>fino al 15 % dei costi diretti ammissibili per il personale, nel qual caso lo Stato membro non è tenuto a eseguire un calcolo per determinare il tasso applicabile</w:t>
      </w:r>
      <w:r w:rsidR="00F137BC" w:rsidRPr="00F01230">
        <w:rPr>
          <w:rFonts w:ascii="Garamond" w:hAnsi="Garamond"/>
          <w:i/>
          <w:iCs/>
          <w:sz w:val="18"/>
          <w:szCs w:val="18"/>
        </w:rPr>
        <w:t xml:space="preserve">; c) </w:t>
      </w:r>
      <w:r w:rsidR="00D648B5" w:rsidRPr="00F01230">
        <w:rPr>
          <w:rFonts w:ascii="Garamond" w:hAnsi="Garamond"/>
          <w:i/>
          <w:iCs/>
          <w:sz w:val="18"/>
          <w:szCs w:val="18"/>
        </w:rPr>
        <w:t>fino al 25 % dei costi diretti ammissibili, a condizione che il tasso sia calcolato in conformità dell’articolo 53, paragrafo 3, lettera a)</w:t>
      </w:r>
      <w:r w:rsidR="00B76C06" w:rsidRPr="00F01230">
        <w:rPr>
          <w:rFonts w:ascii="Garamond" w:hAnsi="Garamond"/>
          <w:i/>
          <w:iCs/>
          <w:sz w:val="18"/>
          <w:szCs w:val="18"/>
        </w:rPr>
        <w:t>”</w:t>
      </w:r>
      <w:r w:rsidR="00B76C06" w:rsidRPr="00F01230">
        <w:rPr>
          <w:rFonts w:ascii="Garamond" w:hAnsi="Garamond"/>
          <w:sz w:val="18"/>
          <w:szCs w:val="18"/>
        </w:rPr>
        <w:t>.</w:t>
      </w:r>
      <w:r w:rsidR="00B76C06" w:rsidRPr="00F01230">
        <w:rPr>
          <w:sz w:val="18"/>
          <w:szCs w:val="18"/>
        </w:rPr>
        <w:t xml:space="preserve"> </w:t>
      </w:r>
    </w:p>
    <w:p w14:paraId="5168423F" w14:textId="2BC2BEF1" w:rsidR="0042300C" w:rsidRDefault="0042300C">
      <w:pPr>
        <w:pStyle w:val="Testonotaapidipagina"/>
      </w:pPr>
    </w:p>
  </w:footnote>
  <w:footnote w:id="7">
    <w:p w14:paraId="5D16A28F" w14:textId="02B96C8B" w:rsidR="003C63F0" w:rsidRPr="00F01230" w:rsidRDefault="003C63F0" w:rsidP="00C444CA">
      <w:pPr>
        <w:pStyle w:val="Testonotaapidipagina"/>
        <w:numPr>
          <w:ilvl w:val="0"/>
          <w:numId w:val="5"/>
        </w:numPr>
        <w:jc w:val="both"/>
        <w:rPr>
          <w:rFonts w:ascii="Garamond" w:hAnsi="Garamond"/>
          <w:i/>
          <w:iCs/>
          <w:sz w:val="18"/>
          <w:szCs w:val="18"/>
        </w:rPr>
      </w:pPr>
      <w:r>
        <w:rPr>
          <w:rStyle w:val="Rimandonotaapidipagina"/>
        </w:rPr>
        <w:footnoteRef/>
      </w:r>
      <w:r>
        <w:t xml:space="preserve"> </w:t>
      </w:r>
      <w:r w:rsidRPr="00F01230">
        <w:rPr>
          <w:rFonts w:ascii="Garamond" w:hAnsi="Garamond"/>
          <w:sz w:val="18"/>
          <w:szCs w:val="18"/>
        </w:rPr>
        <w:t>Come da art. 5</w:t>
      </w:r>
      <w:r w:rsidR="00C31EE8" w:rsidRPr="00F01230">
        <w:rPr>
          <w:rFonts w:ascii="Garamond" w:hAnsi="Garamond"/>
          <w:sz w:val="18"/>
          <w:szCs w:val="18"/>
        </w:rPr>
        <w:t>5</w:t>
      </w:r>
      <w:r w:rsidRPr="00F01230">
        <w:rPr>
          <w:rFonts w:ascii="Garamond" w:hAnsi="Garamond"/>
          <w:sz w:val="18"/>
          <w:szCs w:val="18"/>
        </w:rPr>
        <w:t xml:space="preserve">, </w:t>
      </w:r>
      <w:r w:rsidR="00C31EE8" w:rsidRPr="00F01230">
        <w:rPr>
          <w:rFonts w:ascii="Garamond" w:hAnsi="Garamond"/>
          <w:sz w:val="18"/>
          <w:szCs w:val="18"/>
        </w:rPr>
        <w:t>comma 1</w:t>
      </w:r>
      <w:r w:rsidRPr="00F01230">
        <w:rPr>
          <w:rFonts w:ascii="Garamond" w:hAnsi="Garamond"/>
          <w:sz w:val="18"/>
          <w:szCs w:val="18"/>
        </w:rPr>
        <w:t xml:space="preserve"> del Reg. (UE) 2021</w:t>
      </w:r>
      <w:r w:rsidR="00BA063E" w:rsidRPr="00F01230">
        <w:rPr>
          <w:rFonts w:ascii="Garamond" w:hAnsi="Garamond"/>
          <w:sz w:val="18"/>
          <w:szCs w:val="18"/>
        </w:rPr>
        <w:t>/1060</w:t>
      </w:r>
      <w:r w:rsidRPr="00F01230">
        <w:rPr>
          <w:rFonts w:ascii="Garamond" w:hAnsi="Garamond"/>
          <w:sz w:val="18"/>
          <w:szCs w:val="18"/>
        </w:rPr>
        <w:t xml:space="preserve">, </w:t>
      </w:r>
      <w:r w:rsidRPr="00F01230">
        <w:rPr>
          <w:rFonts w:ascii="Garamond" w:hAnsi="Garamond"/>
          <w:i/>
          <w:iCs/>
          <w:sz w:val="18"/>
          <w:szCs w:val="18"/>
        </w:rPr>
        <w:t>“</w:t>
      </w:r>
      <w:r w:rsidR="00C31EE8" w:rsidRPr="00F01230">
        <w:rPr>
          <w:rFonts w:ascii="Garamond" w:hAnsi="Garamond"/>
          <w:i/>
          <w:iCs/>
          <w:sz w:val="18"/>
          <w:szCs w:val="18"/>
        </w:rPr>
        <w:t>I costi diretti per il personale di un’operazione possono essere calcolati a un tasso forfettario fino al 20 % dei costi diretti di tale operazione diversi dai costi diretti per il personale, senza che lo Stato membro sia tenuto a eseguire un calcolo per determinare il tasso applicabile</w:t>
      </w:r>
      <w:r w:rsidRPr="00F01230">
        <w:rPr>
          <w:rFonts w:ascii="Garamond" w:hAnsi="Garamond"/>
          <w:i/>
          <w:iCs/>
          <w:sz w:val="18"/>
          <w:szCs w:val="18"/>
        </w:rPr>
        <w:t>”</w:t>
      </w:r>
      <w:r w:rsidRPr="00F01230">
        <w:rPr>
          <w:rFonts w:ascii="Garamond" w:hAnsi="Garamond"/>
          <w:sz w:val="18"/>
          <w:szCs w:val="18"/>
        </w:rPr>
        <w:t>.</w:t>
      </w:r>
      <w:r w:rsidRPr="00F01230">
        <w:rPr>
          <w:sz w:val="18"/>
          <w:szCs w:val="18"/>
        </w:rPr>
        <w:t xml:space="preserve"> </w:t>
      </w:r>
    </w:p>
  </w:footnote>
  <w:footnote w:id="8">
    <w:p w14:paraId="1840BCA4" w14:textId="1E85C1CD" w:rsidR="00C444CA" w:rsidRPr="00F01230" w:rsidRDefault="00C444CA" w:rsidP="00C82089">
      <w:pPr>
        <w:pStyle w:val="Testonotaapidipagina"/>
        <w:numPr>
          <w:ilvl w:val="0"/>
          <w:numId w:val="5"/>
        </w:numPr>
        <w:jc w:val="both"/>
        <w:rPr>
          <w:rFonts w:ascii="Garamond" w:hAnsi="Garamond"/>
          <w:i/>
          <w:iCs/>
          <w:sz w:val="18"/>
          <w:szCs w:val="18"/>
        </w:rPr>
      </w:pPr>
      <w:r>
        <w:rPr>
          <w:rStyle w:val="Rimandonotaapidipagina"/>
        </w:rPr>
        <w:footnoteRef/>
      </w:r>
      <w:r>
        <w:t xml:space="preserve"> </w:t>
      </w:r>
      <w:r w:rsidRPr="00F01230">
        <w:rPr>
          <w:rFonts w:ascii="Garamond" w:hAnsi="Garamond"/>
          <w:sz w:val="18"/>
          <w:szCs w:val="18"/>
        </w:rPr>
        <w:t>Come da art. 5</w:t>
      </w:r>
      <w:r w:rsidR="00C82089" w:rsidRPr="00F01230">
        <w:rPr>
          <w:rFonts w:ascii="Garamond" w:hAnsi="Garamond"/>
          <w:sz w:val="18"/>
          <w:szCs w:val="18"/>
        </w:rPr>
        <w:t>6</w:t>
      </w:r>
      <w:r w:rsidRPr="00F01230">
        <w:rPr>
          <w:rFonts w:ascii="Garamond" w:hAnsi="Garamond"/>
          <w:sz w:val="18"/>
          <w:szCs w:val="18"/>
        </w:rPr>
        <w:t>, comma 1 del Reg. (UE) 2021</w:t>
      </w:r>
      <w:r w:rsidR="00BA063E" w:rsidRPr="00F01230">
        <w:rPr>
          <w:rFonts w:ascii="Garamond" w:hAnsi="Garamond"/>
          <w:sz w:val="18"/>
          <w:szCs w:val="18"/>
        </w:rPr>
        <w:t>/1060</w:t>
      </w:r>
      <w:r w:rsidRPr="00F01230">
        <w:rPr>
          <w:rFonts w:ascii="Garamond" w:hAnsi="Garamond"/>
          <w:sz w:val="18"/>
          <w:szCs w:val="18"/>
        </w:rPr>
        <w:t xml:space="preserve">, </w:t>
      </w:r>
      <w:r w:rsidRPr="00F01230">
        <w:rPr>
          <w:rFonts w:ascii="Garamond" w:hAnsi="Garamond"/>
          <w:i/>
          <w:iCs/>
          <w:sz w:val="18"/>
          <w:szCs w:val="18"/>
        </w:rPr>
        <w:t>“</w:t>
      </w:r>
      <w:r w:rsidR="00C82089" w:rsidRPr="00F01230">
        <w:rPr>
          <w:rFonts w:ascii="Garamond" w:hAnsi="Garamond"/>
          <w:i/>
          <w:iCs/>
          <w:sz w:val="18"/>
          <w:szCs w:val="18"/>
        </w:rPr>
        <w:t>Un tasso forfettario fino al 40 % dei costi diretti ammissibili per il personale può essere utilizzato per coprire i costi ammissibili residui di un’operazione. Lo Stato membro non è tenuto a eseguire un calcolo per determinare il tasso applicabile</w:t>
      </w:r>
      <w:r w:rsidRPr="00F01230">
        <w:rPr>
          <w:rFonts w:ascii="Garamond" w:hAnsi="Garamond"/>
          <w:i/>
          <w:iCs/>
          <w:sz w:val="18"/>
          <w:szCs w:val="18"/>
        </w:rPr>
        <w:t>”</w:t>
      </w:r>
      <w:r w:rsidRPr="00F01230">
        <w:rPr>
          <w:rFonts w:ascii="Garamond" w:hAnsi="Garamond"/>
          <w:sz w:val="18"/>
          <w:szCs w:val="18"/>
        </w:rPr>
        <w:t>.</w:t>
      </w:r>
      <w:r w:rsidRPr="00F01230">
        <w:rPr>
          <w:sz w:val="18"/>
          <w:szCs w:val="18"/>
        </w:rPr>
        <w:t xml:space="preserve"> </w:t>
      </w:r>
    </w:p>
    <w:p w14:paraId="0691AC9C" w14:textId="77777777" w:rsidR="00C444CA" w:rsidRDefault="00C444CA">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E16E5" w14:paraId="2F5F4153" w14:textId="77777777" w:rsidTr="004E16E5">
      <w:trPr>
        <w:jc w:val="center"/>
      </w:trPr>
      <w:tc>
        <w:tcPr>
          <w:tcW w:w="4814" w:type="dxa"/>
          <w:hideMark/>
        </w:tcPr>
        <w:p w14:paraId="4616E7B5" w14:textId="6DE1A2B2" w:rsidR="004E16E5" w:rsidRDefault="004E16E5" w:rsidP="004E16E5">
          <w:pPr>
            <w:pStyle w:val="Intestazione"/>
            <w:jc w:val="right"/>
          </w:pPr>
          <w:r>
            <w:rPr>
              <w:noProof/>
            </w:rPr>
            <w:drawing>
              <wp:inline distT="0" distB="0" distL="0" distR="0" wp14:anchorId="4DAECDB8" wp14:editId="7778BC6D">
                <wp:extent cx="1661160" cy="416560"/>
                <wp:effectExtent l="0" t="0" r="0" b="254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160" cy="416560"/>
                        </a:xfrm>
                        <a:prstGeom prst="rect">
                          <a:avLst/>
                        </a:prstGeom>
                        <a:noFill/>
                        <a:ln>
                          <a:noFill/>
                        </a:ln>
                      </pic:spPr>
                    </pic:pic>
                  </a:graphicData>
                </a:graphic>
              </wp:inline>
            </w:drawing>
          </w:r>
        </w:p>
      </w:tc>
      <w:tc>
        <w:tcPr>
          <w:tcW w:w="4814" w:type="dxa"/>
          <w:hideMark/>
        </w:tcPr>
        <w:p w14:paraId="77C3D8C0" w14:textId="1B09DED0" w:rsidR="004E16E5" w:rsidRDefault="00D97715" w:rsidP="004E16E5">
          <w:pPr>
            <w:pStyle w:val="Intestazione"/>
          </w:pPr>
          <w:r>
            <w:rPr>
              <w:noProof/>
            </w:rPr>
            <w:drawing>
              <wp:inline distT="0" distB="0" distL="0" distR="0" wp14:anchorId="64B57F6B" wp14:editId="2481F774">
                <wp:extent cx="2138680" cy="448683"/>
                <wp:effectExtent l="0" t="0" r="0" b="8890"/>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173681" cy="456026"/>
                        </a:xfrm>
                        <a:prstGeom prst="rect">
                          <a:avLst/>
                        </a:prstGeom>
                      </pic:spPr>
                    </pic:pic>
                  </a:graphicData>
                </a:graphic>
              </wp:inline>
            </w:drawing>
          </w:r>
        </w:p>
      </w:tc>
    </w:tr>
  </w:tbl>
  <w:p w14:paraId="7C31679E" w14:textId="41BE8F2D" w:rsidR="004E16E5" w:rsidRDefault="004E16E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BAC4E9"/>
    <w:multiLevelType w:val="hybridMultilevel"/>
    <w:tmpl w:val="80DFFE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 w15:restartNumberingAfterBreak="0">
    <w:nsid w:val="19870158"/>
    <w:multiLevelType w:val="hybridMultilevel"/>
    <w:tmpl w:val="54AE2C5E"/>
    <w:lvl w:ilvl="0" w:tplc="07022C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EE292"/>
    <w:multiLevelType w:val="hybridMultilevel"/>
    <w:tmpl w:val="40F02D92"/>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462636"/>
    <w:multiLevelType w:val="hybridMultilevel"/>
    <w:tmpl w:val="A948E0A4"/>
    <w:lvl w:ilvl="0" w:tplc="07022C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68157003">
    <w:abstractNumId w:val="4"/>
  </w:num>
  <w:num w:numId="2" w16cid:durableId="379407150">
    <w:abstractNumId w:val="6"/>
  </w:num>
  <w:num w:numId="3" w16cid:durableId="907572476">
    <w:abstractNumId w:val="5"/>
  </w:num>
  <w:num w:numId="4" w16cid:durableId="563956472">
    <w:abstractNumId w:val="3"/>
  </w:num>
  <w:num w:numId="5" w16cid:durableId="1375036594">
    <w:abstractNumId w:val="0"/>
  </w:num>
  <w:num w:numId="6" w16cid:durableId="1918636667">
    <w:abstractNumId w:val="7"/>
  </w:num>
  <w:num w:numId="7" w16cid:durableId="1975407543">
    <w:abstractNumId w:val="2"/>
  </w:num>
  <w:num w:numId="8" w16cid:durableId="15599703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081"/>
    <w:rsid w:val="00010193"/>
    <w:rsid w:val="00011F23"/>
    <w:rsid w:val="0002593F"/>
    <w:rsid w:val="000265F3"/>
    <w:rsid w:val="00031214"/>
    <w:rsid w:val="00033A62"/>
    <w:rsid w:val="00044E72"/>
    <w:rsid w:val="000475D3"/>
    <w:rsid w:val="00055561"/>
    <w:rsid w:val="000571DE"/>
    <w:rsid w:val="0006071B"/>
    <w:rsid w:val="0006363B"/>
    <w:rsid w:val="00076898"/>
    <w:rsid w:val="000824A1"/>
    <w:rsid w:val="00083B7B"/>
    <w:rsid w:val="0009420D"/>
    <w:rsid w:val="000951E5"/>
    <w:rsid w:val="00095422"/>
    <w:rsid w:val="00096429"/>
    <w:rsid w:val="000A200A"/>
    <w:rsid w:val="000A3618"/>
    <w:rsid w:val="000A6697"/>
    <w:rsid w:val="000B1489"/>
    <w:rsid w:val="000B2DC8"/>
    <w:rsid w:val="000B429D"/>
    <w:rsid w:val="000B7E99"/>
    <w:rsid w:val="000C25E8"/>
    <w:rsid w:val="000C6E6B"/>
    <w:rsid w:val="000D19EC"/>
    <w:rsid w:val="000D4C01"/>
    <w:rsid w:val="000E64E0"/>
    <w:rsid w:val="000F0161"/>
    <w:rsid w:val="000F0A8F"/>
    <w:rsid w:val="000F2303"/>
    <w:rsid w:val="00104037"/>
    <w:rsid w:val="00104C55"/>
    <w:rsid w:val="00104D5A"/>
    <w:rsid w:val="00107DE7"/>
    <w:rsid w:val="00110D87"/>
    <w:rsid w:val="00112139"/>
    <w:rsid w:val="0011240A"/>
    <w:rsid w:val="00127AC0"/>
    <w:rsid w:val="00130E4A"/>
    <w:rsid w:val="00133417"/>
    <w:rsid w:val="00134F52"/>
    <w:rsid w:val="0013711D"/>
    <w:rsid w:val="001412AB"/>
    <w:rsid w:val="00157AA8"/>
    <w:rsid w:val="00165172"/>
    <w:rsid w:val="00172F18"/>
    <w:rsid w:val="001778BB"/>
    <w:rsid w:val="00196A75"/>
    <w:rsid w:val="001A245D"/>
    <w:rsid w:val="001A2A54"/>
    <w:rsid w:val="001B1806"/>
    <w:rsid w:val="001B5AD0"/>
    <w:rsid w:val="001B6179"/>
    <w:rsid w:val="001B6FE3"/>
    <w:rsid w:val="001B7AD7"/>
    <w:rsid w:val="001C0031"/>
    <w:rsid w:val="001C1BFC"/>
    <w:rsid w:val="001C5A2C"/>
    <w:rsid w:val="001C6EB8"/>
    <w:rsid w:val="001C73A4"/>
    <w:rsid w:val="001D0219"/>
    <w:rsid w:val="001D3E8C"/>
    <w:rsid w:val="001D775D"/>
    <w:rsid w:val="001E074C"/>
    <w:rsid w:val="001E2F53"/>
    <w:rsid w:val="001E5FFF"/>
    <w:rsid w:val="001F2C2B"/>
    <w:rsid w:val="001F4B62"/>
    <w:rsid w:val="001F511B"/>
    <w:rsid w:val="0020032E"/>
    <w:rsid w:val="00201781"/>
    <w:rsid w:val="002018A5"/>
    <w:rsid w:val="00205800"/>
    <w:rsid w:val="00206A78"/>
    <w:rsid w:val="00207779"/>
    <w:rsid w:val="002112C5"/>
    <w:rsid w:val="00211F74"/>
    <w:rsid w:val="00214B78"/>
    <w:rsid w:val="00217490"/>
    <w:rsid w:val="00223D47"/>
    <w:rsid w:val="00234C3F"/>
    <w:rsid w:val="00236F15"/>
    <w:rsid w:val="0024212B"/>
    <w:rsid w:val="00246F02"/>
    <w:rsid w:val="00256A2D"/>
    <w:rsid w:val="00257D29"/>
    <w:rsid w:val="00261237"/>
    <w:rsid w:val="00270E21"/>
    <w:rsid w:val="0027446E"/>
    <w:rsid w:val="002759A7"/>
    <w:rsid w:val="0028324D"/>
    <w:rsid w:val="002849FE"/>
    <w:rsid w:val="002852B5"/>
    <w:rsid w:val="0029030A"/>
    <w:rsid w:val="002937DD"/>
    <w:rsid w:val="00293EFF"/>
    <w:rsid w:val="00295EAA"/>
    <w:rsid w:val="002A0052"/>
    <w:rsid w:val="002A683F"/>
    <w:rsid w:val="002A690F"/>
    <w:rsid w:val="002B70E2"/>
    <w:rsid w:val="002C2B51"/>
    <w:rsid w:val="002C4131"/>
    <w:rsid w:val="002D453A"/>
    <w:rsid w:val="002D45AB"/>
    <w:rsid w:val="002D62D4"/>
    <w:rsid w:val="002D7299"/>
    <w:rsid w:val="002E2580"/>
    <w:rsid w:val="002F1050"/>
    <w:rsid w:val="002F24AE"/>
    <w:rsid w:val="002F2831"/>
    <w:rsid w:val="00303CFF"/>
    <w:rsid w:val="00307B98"/>
    <w:rsid w:val="00310A14"/>
    <w:rsid w:val="003277FE"/>
    <w:rsid w:val="00336949"/>
    <w:rsid w:val="00337117"/>
    <w:rsid w:val="003410DE"/>
    <w:rsid w:val="003469DD"/>
    <w:rsid w:val="00352314"/>
    <w:rsid w:val="00354150"/>
    <w:rsid w:val="003543C1"/>
    <w:rsid w:val="00356E0E"/>
    <w:rsid w:val="00360020"/>
    <w:rsid w:val="0036044E"/>
    <w:rsid w:val="00370394"/>
    <w:rsid w:val="00373883"/>
    <w:rsid w:val="00373AB0"/>
    <w:rsid w:val="00384131"/>
    <w:rsid w:val="00386A33"/>
    <w:rsid w:val="00390D0B"/>
    <w:rsid w:val="003C579C"/>
    <w:rsid w:val="003C63F0"/>
    <w:rsid w:val="003E49E7"/>
    <w:rsid w:val="003E7346"/>
    <w:rsid w:val="003F0D59"/>
    <w:rsid w:val="003F2856"/>
    <w:rsid w:val="00400DF3"/>
    <w:rsid w:val="00410586"/>
    <w:rsid w:val="0041664F"/>
    <w:rsid w:val="00420C1C"/>
    <w:rsid w:val="0042300C"/>
    <w:rsid w:val="00424E4A"/>
    <w:rsid w:val="00432FA5"/>
    <w:rsid w:val="00434CD7"/>
    <w:rsid w:val="00443965"/>
    <w:rsid w:val="004441DE"/>
    <w:rsid w:val="004529FB"/>
    <w:rsid w:val="00453173"/>
    <w:rsid w:val="0045410A"/>
    <w:rsid w:val="00454A0B"/>
    <w:rsid w:val="00460167"/>
    <w:rsid w:val="004608F1"/>
    <w:rsid w:val="0046669A"/>
    <w:rsid w:val="004673A5"/>
    <w:rsid w:val="00467A5E"/>
    <w:rsid w:val="004706A4"/>
    <w:rsid w:val="0048023F"/>
    <w:rsid w:val="00481D77"/>
    <w:rsid w:val="00482081"/>
    <w:rsid w:val="00483065"/>
    <w:rsid w:val="00485ED6"/>
    <w:rsid w:val="0049482C"/>
    <w:rsid w:val="004976C7"/>
    <w:rsid w:val="004A443A"/>
    <w:rsid w:val="004A4D55"/>
    <w:rsid w:val="004B591D"/>
    <w:rsid w:val="004C2DE2"/>
    <w:rsid w:val="004C2F9F"/>
    <w:rsid w:val="004C6B44"/>
    <w:rsid w:val="004C7B58"/>
    <w:rsid w:val="004D5767"/>
    <w:rsid w:val="004E0C8F"/>
    <w:rsid w:val="004E0E2A"/>
    <w:rsid w:val="004E16E5"/>
    <w:rsid w:val="004E49EF"/>
    <w:rsid w:val="004E67A0"/>
    <w:rsid w:val="004F68C6"/>
    <w:rsid w:val="00507668"/>
    <w:rsid w:val="0051494C"/>
    <w:rsid w:val="00516284"/>
    <w:rsid w:val="005162E6"/>
    <w:rsid w:val="005171A7"/>
    <w:rsid w:val="00525CE7"/>
    <w:rsid w:val="00525EA4"/>
    <w:rsid w:val="00527F1E"/>
    <w:rsid w:val="005431B8"/>
    <w:rsid w:val="00547C01"/>
    <w:rsid w:val="0056538E"/>
    <w:rsid w:val="005736DB"/>
    <w:rsid w:val="00574A74"/>
    <w:rsid w:val="00577AC8"/>
    <w:rsid w:val="00584314"/>
    <w:rsid w:val="00590EA9"/>
    <w:rsid w:val="00591C0B"/>
    <w:rsid w:val="005951A1"/>
    <w:rsid w:val="005A0209"/>
    <w:rsid w:val="005A7FAE"/>
    <w:rsid w:val="005B068B"/>
    <w:rsid w:val="005B6C03"/>
    <w:rsid w:val="005B6DDC"/>
    <w:rsid w:val="005C1D85"/>
    <w:rsid w:val="005C3A4E"/>
    <w:rsid w:val="005C5BED"/>
    <w:rsid w:val="005C61F0"/>
    <w:rsid w:val="005C73D4"/>
    <w:rsid w:val="005D100C"/>
    <w:rsid w:val="005D2E75"/>
    <w:rsid w:val="005E331F"/>
    <w:rsid w:val="005E47E6"/>
    <w:rsid w:val="005F3AA5"/>
    <w:rsid w:val="0060183D"/>
    <w:rsid w:val="00612A88"/>
    <w:rsid w:val="00614C89"/>
    <w:rsid w:val="0062167C"/>
    <w:rsid w:val="0062250C"/>
    <w:rsid w:val="00623464"/>
    <w:rsid w:val="00630504"/>
    <w:rsid w:val="00630BD2"/>
    <w:rsid w:val="006338E6"/>
    <w:rsid w:val="006340C8"/>
    <w:rsid w:val="00634FED"/>
    <w:rsid w:val="00637EFF"/>
    <w:rsid w:val="0064103A"/>
    <w:rsid w:val="006475AC"/>
    <w:rsid w:val="00654A34"/>
    <w:rsid w:val="006611A5"/>
    <w:rsid w:val="00661843"/>
    <w:rsid w:val="00664AA4"/>
    <w:rsid w:val="00671438"/>
    <w:rsid w:val="006720ED"/>
    <w:rsid w:val="0069267E"/>
    <w:rsid w:val="00693026"/>
    <w:rsid w:val="00696799"/>
    <w:rsid w:val="006A2AF1"/>
    <w:rsid w:val="006A67C8"/>
    <w:rsid w:val="006C0A91"/>
    <w:rsid w:val="006D580E"/>
    <w:rsid w:val="006D596D"/>
    <w:rsid w:val="006D5FC9"/>
    <w:rsid w:val="006E04C8"/>
    <w:rsid w:val="006E1831"/>
    <w:rsid w:val="007013B2"/>
    <w:rsid w:val="0070321E"/>
    <w:rsid w:val="007072A2"/>
    <w:rsid w:val="00707431"/>
    <w:rsid w:val="00711C48"/>
    <w:rsid w:val="007149CD"/>
    <w:rsid w:val="00715A3D"/>
    <w:rsid w:val="0072445D"/>
    <w:rsid w:val="00725795"/>
    <w:rsid w:val="00726D0B"/>
    <w:rsid w:val="0072727F"/>
    <w:rsid w:val="007345AB"/>
    <w:rsid w:val="0073790E"/>
    <w:rsid w:val="00743F8B"/>
    <w:rsid w:val="00752619"/>
    <w:rsid w:val="007545BB"/>
    <w:rsid w:val="00760C41"/>
    <w:rsid w:val="00761253"/>
    <w:rsid w:val="00764554"/>
    <w:rsid w:val="0076754A"/>
    <w:rsid w:val="0077007A"/>
    <w:rsid w:val="00772D9D"/>
    <w:rsid w:val="0077326A"/>
    <w:rsid w:val="00773993"/>
    <w:rsid w:val="00774CED"/>
    <w:rsid w:val="00787627"/>
    <w:rsid w:val="007940DC"/>
    <w:rsid w:val="007949D1"/>
    <w:rsid w:val="0079789C"/>
    <w:rsid w:val="007B2081"/>
    <w:rsid w:val="007B6BB7"/>
    <w:rsid w:val="007C1701"/>
    <w:rsid w:val="007C4BDC"/>
    <w:rsid w:val="007C69FF"/>
    <w:rsid w:val="007D2D0F"/>
    <w:rsid w:val="007F0E66"/>
    <w:rsid w:val="007F3487"/>
    <w:rsid w:val="0080640C"/>
    <w:rsid w:val="00826129"/>
    <w:rsid w:val="00841A88"/>
    <w:rsid w:val="00843557"/>
    <w:rsid w:val="008466BF"/>
    <w:rsid w:val="00847F58"/>
    <w:rsid w:val="008500D1"/>
    <w:rsid w:val="00851666"/>
    <w:rsid w:val="008520D5"/>
    <w:rsid w:val="00853006"/>
    <w:rsid w:val="00871ADA"/>
    <w:rsid w:val="008729DF"/>
    <w:rsid w:val="00873C57"/>
    <w:rsid w:val="0088547F"/>
    <w:rsid w:val="00890F5A"/>
    <w:rsid w:val="00891562"/>
    <w:rsid w:val="00893010"/>
    <w:rsid w:val="008A125C"/>
    <w:rsid w:val="008A723A"/>
    <w:rsid w:val="008B0993"/>
    <w:rsid w:val="008C0996"/>
    <w:rsid w:val="008C0D04"/>
    <w:rsid w:val="008C5361"/>
    <w:rsid w:val="008C767A"/>
    <w:rsid w:val="008D530C"/>
    <w:rsid w:val="008E617D"/>
    <w:rsid w:val="008F61B4"/>
    <w:rsid w:val="00900112"/>
    <w:rsid w:val="00900721"/>
    <w:rsid w:val="009155E8"/>
    <w:rsid w:val="0091592B"/>
    <w:rsid w:val="00915F53"/>
    <w:rsid w:val="009170B9"/>
    <w:rsid w:val="00917747"/>
    <w:rsid w:val="00920F1C"/>
    <w:rsid w:val="00921B74"/>
    <w:rsid w:val="00924EAA"/>
    <w:rsid w:val="00931239"/>
    <w:rsid w:val="009374A1"/>
    <w:rsid w:val="00943E94"/>
    <w:rsid w:val="0094785C"/>
    <w:rsid w:val="00952FD7"/>
    <w:rsid w:val="0095625A"/>
    <w:rsid w:val="00973E9C"/>
    <w:rsid w:val="0098277A"/>
    <w:rsid w:val="00990004"/>
    <w:rsid w:val="00991341"/>
    <w:rsid w:val="009927BD"/>
    <w:rsid w:val="009954CC"/>
    <w:rsid w:val="009957F0"/>
    <w:rsid w:val="00997E99"/>
    <w:rsid w:val="009A10D6"/>
    <w:rsid w:val="009A6AB4"/>
    <w:rsid w:val="009C3165"/>
    <w:rsid w:val="009C3617"/>
    <w:rsid w:val="009C51D7"/>
    <w:rsid w:val="009D151D"/>
    <w:rsid w:val="009D3CC7"/>
    <w:rsid w:val="009D6C6A"/>
    <w:rsid w:val="009D7090"/>
    <w:rsid w:val="009E4146"/>
    <w:rsid w:val="009E4BC2"/>
    <w:rsid w:val="009F1A4A"/>
    <w:rsid w:val="009F4C18"/>
    <w:rsid w:val="009F7D53"/>
    <w:rsid w:val="00A00A1F"/>
    <w:rsid w:val="00A0677B"/>
    <w:rsid w:val="00A12059"/>
    <w:rsid w:val="00A136CA"/>
    <w:rsid w:val="00A14C6C"/>
    <w:rsid w:val="00A15825"/>
    <w:rsid w:val="00A20724"/>
    <w:rsid w:val="00A219E1"/>
    <w:rsid w:val="00A27DCF"/>
    <w:rsid w:val="00A3228F"/>
    <w:rsid w:val="00A341DF"/>
    <w:rsid w:val="00A4040A"/>
    <w:rsid w:val="00A40E85"/>
    <w:rsid w:val="00A42336"/>
    <w:rsid w:val="00A470A7"/>
    <w:rsid w:val="00A60440"/>
    <w:rsid w:val="00A71EA1"/>
    <w:rsid w:val="00A76A92"/>
    <w:rsid w:val="00A87C53"/>
    <w:rsid w:val="00AA01BB"/>
    <w:rsid w:val="00AA1259"/>
    <w:rsid w:val="00AA6FA2"/>
    <w:rsid w:val="00AA70C9"/>
    <w:rsid w:val="00AA7819"/>
    <w:rsid w:val="00AB1BD9"/>
    <w:rsid w:val="00AB3FF7"/>
    <w:rsid w:val="00AC58EE"/>
    <w:rsid w:val="00AD0903"/>
    <w:rsid w:val="00AE05EF"/>
    <w:rsid w:val="00AE2471"/>
    <w:rsid w:val="00AE3081"/>
    <w:rsid w:val="00AE3274"/>
    <w:rsid w:val="00AE4841"/>
    <w:rsid w:val="00AE55F4"/>
    <w:rsid w:val="00AE6B29"/>
    <w:rsid w:val="00B07F55"/>
    <w:rsid w:val="00B1047F"/>
    <w:rsid w:val="00B113DF"/>
    <w:rsid w:val="00B21096"/>
    <w:rsid w:val="00B25208"/>
    <w:rsid w:val="00B25BB1"/>
    <w:rsid w:val="00B279A0"/>
    <w:rsid w:val="00B27C6E"/>
    <w:rsid w:val="00B31B9D"/>
    <w:rsid w:val="00B3572F"/>
    <w:rsid w:val="00B405F9"/>
    <w:rsid w:val="00B477EE"/>
    <w:rsid w:val="00B53407"/>
    <w:rsid w:val="00B6094B"/>
    <w:rsid w:val="00B613DF"/>
    <w:rsid w:val="00B66080"/>
    <w:rsid w:val="00B676E4"/>
    <w:rsid w:val="00B722F5"/>
    <w:rsid w:val="00B72BC9"/>
    <w:rsid w:val="00B76C06"/>
    <w:rsid w:val="00B86807"/>
    <w:rsid w:val="00B90FF4"/>
    <w:rsid w:val="00B952A7"/>
    <w:rsid w:val="00B97C92"/>
    <w:rsid w:val="00BA063E"/>
    <w:rsid w:val="00BA3F5A"/>
    <w:rsid w:val="00BA4BC3"/>
    <w:rsid w:val="00BB15B5"/>
    <w:rsid w:val="00BB5E1B"/>
    <w:rsid w:val="00BD4C10"/>
    <w:rsid w:val="00BD54C5"/>
    <w:rsid w:val="00BE31DF"/>
    <w:rsid w:val="00BE3FFB"/>
    <w:rsid w:val="00BE4706"/>
    <w:rsid w:val="00BE700D"/>
    <w:rsid w:val="00BF03AA"/>
    <w:rsid w:val="00BF18BE"/>
    <w:rsid w:val="00BF19B1"/>
    <w:rsid w:val="00BF5CDF"/>
    <w:rsid w:val="00BF759D"/>
    <w:rsid w:val="00C06884"/>
    <w:rsid w:val="00C16034"/>
    <w:rsid w:val="00C20F7A"/>
    <w:rsid w:val="00C2313A"/>
    <w:rsid w:val="00C23312"/>
    <w:rsid w:val="00C2431E"/>
    <w:rsid w:val="00C30749"/>
    <w:rsid w:val="00C3113A"/>
    <w:rsid w:val="00C3131D"/>
    <w:rsid w:val="00C31BED"/>
    <w:rsid w:val="00C31EE8"/>
    <w:rsid w:val="00C37171"/>
    <w:rsid w:val="00C37245"/>
    <w:rsid w:val="00C444CA"/>
    <w:rsid w:val="00C53BF4"/>
    <w:rsid w:val="00C5524B"/>
    <w:rsid w:val="00C552DC"/>
    <w:rsid w:val="00C62484"/>
    <w:rsid w:val="00C81219"/>
    <w:rsid w:val="00C82089"/>
    <w:rsid w:val="00C82B5F"/>
    <w:rsid w:val="00C86B6C"/>
    <w:rsid w:val="00C878FC"/>
    <w:rsid w:val="00C916CF"/>
    <w:rsid w:val="00C941DC"/>
    <w:rsid w:val="00CA1145"/>
    <w:rsid w:val="00CA2E75"/>
    <w:rsid w:val="00CB716E"/>
    <w:rsid w:val="00CC3EE9"/>
    <w:rsid w:val="00CD6FAF"/>
    <w:rsid w:val="00CE1942"/>
    <w:rsid w:val="00CE1A7D"/>
    <w:rsid w:val="00CE40DB"/>
    <w:rsid w:val="00CF1283"/>
    <w:rsid w:val="00D17E2C"/>
    <w:rsid w:val="00D241E5"/>
    <w:rsid w:val="00D27BB1"/>
    <w:rsid w:val="00D31D6C"/>
    <w:rsid w:val="00D32C89"/>
    <w:rsid w:val="00D43F67"/>
    <w:rsid w:val="00D44EF6"/>
    <w:rsid w:val="00D470C5"/>
    <w:rsid w:val="00D47F73"/>
    <w:rsid w:val="00D5092D"/>
    <w:rsid w:val="00D52504"/>
    <w:rsid w:val="00D6358D"/>
    <w:rsid w:val="00D648B5"/>
    <w:rsid w:val="00D75FC7"/>
    <w:rsid w:val="00D772E8"/>
    <w:rsid w:val="00D77F19"/>
    <w:rsid w:val="00D8194C"/>
    <w:rsid w:val="00D8649A"/>
    <w:rsid w:val="00D918D8"/>
    <w:rsid w:val="00D91942"/>
    <w:rsid w:val="00D96C5A"/>
    <w:rsid w:val="00D97715"/>
    <w:rsid w:val="00DA0DB5"/>
    <w:rsid w:val="00DA647D"/>
    <w:rsid w:val="00DA6D05"/>
    <w:rsid w:val="00DA6DC3"/>
    <w:rsid w:val="00DB1771"/>
    <w:rsid w:val="00DB3900"/>
    <w:rsid w:val="00DB58E0"/>
    <w:rsid w:val="00DB6882"/>
    <w:rsid w:val="00DB7713"/>
    <w:rsid w:val="00DC1ACD"/>
    <w:rsid w:val="00DC5120"/>
    <w:rsid w:val="00DE5A32"/>
    <w:rsid w:val="00DF32EC"/>
    <w:rsid w:val="00DF59EB"/>
    <w:rsid w:val="00E02CFA"/>
    <w:rsid w:val="00E04B1E"/>
    <w:rsid w:val="00E11256"/>
    <w:rsid w:val="00E2134C"/>
    <w:rsid w:val="00E237E6"/>
    <w:rsid w:val="00E246A9"/>
    <w:rsid w:val="00E31931"/>
    <w:rsid w:val="00E36CFD"/>
    <w:rsid w:val="00E51C87"/>
    <w:rsid w:val="00E60D25"/>
    <w:rsid w:val="00E71A7B"/>
    <w:rsid w:val="00E77F36"/>
    <w:rsid w:val="00E86051"/>
    <w:rsid w:val="00E871FF"/>
    <w:rsid w:val="00E903A5"/>
    <w:rsid w:val="00EA4BE4"/>
    <w:rsid w:val="00EB30A1"/>
    <w:rsid w:val="00EB7CB0"/>
    <w:rsid w:val="00EC1FA3"/>
    <w:rsid w:val="00EC4539"/>
    <w:rsid w:val="00EC5CB7"/>
    <w:rsid w:val="00EC7FC2"/>
    <w:rsid w:val="00ED4352"/>
    <w:rsid w:val="00EE50FA"/>
    <w:rsid w:val="00EE7122"/>
    <w:rsid w:val="00EF7296"/>
    <w:rsid w:val="00F0033E"/>
    <w:rsid w:val="00F00613"/>
    <w:rsid w:val="00F01230"/>
    <w:rsid w:val="00F109BB"/>
    <w:rsid w:val="00F127F9"/>
    <w:rsid w:val="00F137BC"/>
    <w:rsid w:val="00F1783B"/>
    <w:rsid w:val="00F217C5"/>
    <w:rsid w:val="00F30FE8"/>
    <w:rsid w:val="00F317B9"/>
    <w:rsid w:val="00F45132"/>
    <w:rsid w:val="00F473F6"/>
    <w:rsid w:val="00F60AD8"/>
    <w:rsid w:val="00F7017F"/>
    <w:rsid w:val="00F71507"/>
    <w:rsid w:val="00F722CE"/>
    <w:rsid w:val="00F7293A"/>
    <w:rsid w:val="00F742A5"/>
    <w:rsid w:val="00F74C6C"/>
    <w:rsid w:val="00F764D9"/>
    <w:rsid w:val="00F863EF"/>
    <w:rsid w:val="00F93E35"/>
    <w:rsid w:val="00FB07C0"/>
    <w:rsid w:val="00FB1078"/>
    <w:rsid w:val="00FB18A4"/>
    <w:rsid w:val="00FB32F4"/>
    <w:rsid w:val="00FB461E"/>
    <w:rsid w:val="00FB4B01"/>
    <w:rsid w:val="00FC0ABA"/>
    <w:rsid w:val="00FC4068"/>
    <w:rsid w:val="00FD063C"/>
    <w:rsid w:val="00FD5D11"/>
    <w:rsid w:val="00FE0483"/>
    <w:rsid w:val="00FE27CB"/>
    <w:rsid w:val="00FE6A62"/>
    <w:rsid w:val="00FF2123"/>
    <w:rsid w:val="00FF53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E96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B068B"/>
  </w:style>
  <w:style w:type="paragraph" w:styleId="Titolo1">
    <w:name w:val="heading 1"/>
    <w:basedOn w:val="Normale"/>
    <w:next w:val="Normale"/>
    <w:link w:val="Titolo1Carattere"/>
    <w:qFormat/>
    <w:rsid w:val="00010193"/>
    <w:pPr>
      <w:keepNext/>
      <w:spacing w:before="120" w:after="120" w:line="240" w:lineRule="auto"/>
      <w:jc w:val="both"/>
      <w:outlineLvl w:val="0"/>
    </w:pPr>
    <w:rPr>
      <w:rFonts w:ascii="Bookman Old Style" w:eastAsia="Times New Roman" w:hAnsi="Bookman Old Style" w:cs="Times New Roman"/>
      <w:i/>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99"/>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unhideWhenUsed/>
    <w:rsid w:val="00B279A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B279A0"/>
    <w:rPr>
      <w:sz w:val="20"/>
      <w:szCs w:val="20"/>
    </w:rPr>
  </w:style>
  <w:style w:type="character" w:styleId="Rimandonotaapidipagina">
    <w:name w:val="footnote reference"/>
    <w:basedOn w:val="Carpredefinitoparagrafo"/>
    <w:uiPriority w:val="99"/>
    <w:semiHidden/>
    <w:unhideWhenUsed/>
    <w:rsid w:val="00B279A0"/>
    <w:rPr>
      <w:vertAlign w:val="superscript"/>
    </w:rPr>
  </w:style>
  <w:style w:type="table" w:styleId="Grigliatabella">
    <w:name w:val="Table Grid"/>
    <w:basedOn w:val="Tabellanormale"/>
    <w:uiPriority w:val="39"/>
    <w:rsid w:val="00D4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010193"/>
    <w:rPr>
      <w:rFonts w:ascii="Bookman Old Style" w:eastAsia="Times New Roman" w:hAnsi="Bookman Old Style" w:cs="Times New Roman"/>
      <w:i/>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246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5fb9cb-cdab-49af-8b62-9a7eef97e75f">
      <Terms xmlns="http://schemas.microsoft.com/office/infopath/2007/PartnerControls"/>
    </lcf76f155ced4ddcb4097134ff3c332f>
    <TaxCatchAll xmlns="b79bf960-a57d-4bc8-a65c-0bde4577c7c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967B75023AE444DBDD5EDC63E64F604" ma:contentTypeVersion="17" ma:contentTypeDescription="Creare un nuovo documento." ma:contentTypeScope="" ma:versionID="07aa1478e58fde14c3c3e3ad40812da7">
  <xsd:schema xmlns:xsd="http://www.w3.org/2001/XMLSchema" xmlns:xs="http://www.w3.org/2001/XMLSchema" xmlns:p="http://schemas.microsoft.com/office/2006/metadata/properties" xmlns:ns2="2f5fb9cb-cdab-49af-8b62-9a7eef97e75f" xmlns:ns3="b79bf960-a57d-4bc8-a65c-0bde4577c7cf" targetNamespace="http://schemas.microsoft.com/office/2006/metadata/properties" ma:root="true" ma:fieldsID="72db3b48a24344570b601a7eb2af5cc7" ns2:_="" ns3:_="">
    <xsd:import namespace="2f5fb9cb-cdab-49af-8b62-9a7eef97e75f"/>
    <xsd:import namespace="b79bf960-a57d-4bc8-a65c-0bde4577c7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fb9cb-cdab-49af-8b62-9a7eef97e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df25bea4-72a1-4972-b62b-d1be7d2bd9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9bf960-a57d-4bc8-a65c-0bde4577c7c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205f90-ca84-4f8c-8a40-7cfa4fab32cb}" ma:internalName="TaxCatchAll" ma:showField="CatchAllData" ma:web="b79bf960-a57d-4bc8-a65c-0bde4577c7c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007EE8-1F5D-4952-8933-390775743EE7}">
  <ds:schemaRefs>
    <ds:schemaRef ds:uri="http://schemas.microsoft.com/office/2006/metadata/properties"/>
    <ds:schemaRef ds:uri="http://schemas.microsoft.com/office/infopath/2007/PartnerControls"/>
    <ds:schemaRef ds:uri="2f5fb9cb-cdab-49af-8b62-9a7eef97e75f"/>
    <ds:schemaRef ds:uri="b79bf960-a57d-4bc8-a65c-0bde4577c7cf"/>
  </ds:schemaRefs>
</ds:datastoreItem>
</file>

<file path=customXml/itemProps2.xml><?xml version="1.0" encoding="utf-8"?>
<ds:datastoreItem xmlns:ds="http://schemas.openxmlformats.org/officeDocument/2006/customXml" ds:itemID="{0561679B-0BE0-4C4F-AD4B-9D6D01440B46}">
  <ds:schemaRefs>
    <ds:schemaRef ds:uri="http://schemas.openxmlformats.org/officeDocument/2006/bibliography"/>
  </ds:schemaRefs>
</ds:datastoreItem>
</file>

<file path=customXml/itemProps3.xml><?xml version="1.0" encoding="utf-8"?>
<ds:datastoreItem xmlns:ds="http://schemas.openxmlformats.org/officeDocument/2006/customXml" ds:itemID="{CBEFFA68-E19C-4217-86F4-3EC6596EBEA4}">
  <ds:schemaRefs>
    <ds:schemaRef ds:uri="http://schemas.microsoft.com/sharepoint/v3/contenttype/forms"/>
  </ds:schemaRefs>
</ds:datastoreItem>
</file>

<file path=customXml/itemProps4.xml><?xml version="1.0" encoding="utf-8"?>
<ds:datastoreItem xmlns:ds="http://schemas.openxmlformats.org/officeDocument/2006/customXml" ds:itemID="{51F8FB89-B739-4BD5-A19B-9390D2F09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fb9cb-cdab-49af-8b62-9a7eef97e75f"/>
    <ds:schemaRef ds:uri="b79bf960-a57d-4bc8-a65c-0bde4577c7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1297</Words>
  <Characters>7398</Characters>
  <DocSecurity>0</DocSecurity>
  <Lines>61</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2021-09-16T18:13:00Z</dcterms:created>
  <dcterms:modified xsi:type="dcterms:W3CDTF">2024-10-03T14:29:00Z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0x01010002EDDC50BFD4554EBEA4F0EBE4C24E48</vt:lpwstr>
  </property>
  <property fmtid="{D5CDD505-2E9C-101B-9397-08002B2CF9AE}" pid="3" name="MediaServiceImageTags">
    <vt:lpwstr/>
  </property>
</Properties>
</file>