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"/>
        <w:gridCol w:w="2361"/>
        <w:gridCol w:w="596"/>
        <w:gridCol w:w="1762"/>
        <w:gridCol w:w="2603"/>
        <w:gridCol w:w="307"/>
        <w:gridCol w:w="1992"/>
        <w:gridCol w:w="106"/>
        <w:gridCol w:w="54"/>
        <w:gridCol w:w="139"/>
        <w:gridCol w:w="54"/>
        <w:gridCol w:w="141"/>
        <w:gridCol w:w="48"/>
      </w:tblGrid>
      <w:tr w:rsidR="00B34F1E" w:rsidRPr="00B50AD7" w14:paraId="13F16C44" w14:textId="77777777" w:rsidTr="003E4771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B243C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4A4080" w14:textId="77777777" w:rsidR="00ED75B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 w:rsidR="00E06E46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</w:t>
            </w:r>
            <w:r w:rsidR="00ED75B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 VERIFICHE DI GESTIONE </w:t>
            </w:r>
          </w:p>
          <w:p w14:paraId="488E17DF" w14:textId="7F41E6F1" w:rsidR="00B104A8" w:rsidRDefault="00E06E46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600D1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SELEZIONE PERSONALE </w:t>
            </w:r>
            <w:r w:rsidR="00EA66E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ESTERNO</w:t>
            </w:r>
            <w:r w:rsidR="001C00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  <w:p w14:paraId="4FE001BD" w14:textId="6F3FFADC" w:rsidR="00ED75B7" w:rsidRPr="00B50AD7" w:rsidRDefault="00ED75B7" w:rsidP="0031182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AF899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3DA50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77165090" w14:textId="77777777" w:rsidTr="003E4771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33B74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59CA74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5730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CD64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28E9B898" w14:textId="77777777" w:rsidTr="003E4771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DA98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2FDC51C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FA2E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A638B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38325894" w14:textId="77777777" w:rsidTr="003E4771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64A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32294D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2A64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219B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5A4B8194" w14:textId="77777777" w:rsidTr="003E4771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F55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ADCE0B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01A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C45B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82DF8" w:rsidRPr="00B50AD7" w14:paraId="40895923" w14:textId="77777777" w:rsidTr="00E84DE3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6ED8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F098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4B29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312C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6B2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2865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9DD7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904D7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8DBC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4C3165C9" w14:textId="77777777" w:rsidTr="003E4771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FFE4F7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A3B3E7B" w14:textId="2DCFF0EF" w:rsidR="00BB082A" w:rsidRPr="00B50AD7" w:rsidRDefault="00E54F39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 centrale titolar</w:t>
            </w:r>
            <w:r w:rsidR="009B39D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</w:t>
            </w: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interventi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8BBA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35CF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72F5E1D2" w14:textId="77777777" w:rsidTr="003E4771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AC0DD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365A6E5" w14:textId="27D3CA09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Amministrazione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C0530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E9B2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2C5A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1BB0BCD8" w14:textId="77777777" w:rsidTr="003E4771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5380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A3B020" w14:textId="53A2CE5E" w:rsidR="00BB082A" w:rsidRPr="00B50AD7" w:rsidRDefault="00E54F39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BB082A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Referente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A882F5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4C7D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3975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82DF8" w:rsidRPr="00B50AD7" w14:paraId="0E6B4A7C" w14:textId="77777777" w:rsidTr="00E84DE3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969B5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9692A4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287EAB7" w14:textId="77777777" w:rsidR="00BB082A" w:rsidRPr="00B50AD7" w:rsidRDefault="00BB082A" w:rsidP="000D2FB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3445129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EEA7434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8AE5B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5AD20" w14:textId="77777777" w:rsidR="00BB082A" w:rsidRPr="00B50AD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9D30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DF7E2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385738A4" w14:textId="77777777" w:rsidTr="003E4771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5151F0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6555C23" w14:textId="4062506D" w:rsidR="00BB082A" w:rsidRPr="00B50AD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DE73D5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94D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5D132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24E928DE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208A8EC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1452AE5" w14:textId="5456E146" w:rsidR="00133858" w:rsidRPr="00B50AD7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58B5FC5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E5D479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214D981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B50AD7" w14:paraId="7D602641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E2328E0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5E3CD60" w14:textId="4CF86021" w:rsidR="00133858" w:rsidRPr="00B50AD7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F4AB7F6" w14:textId="001D70F9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803B47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6EBD47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05633" w:rsidRPr="00B50AD7" w14:paraId="03CC447C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4DBD338" w14:textId="77777777" w:rsidR="00505633" w:rsidRPr="00B50AD7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042BFDF" w14:textId="08FB0268" w:rsidR="00505633" w:rsidRPr="00B50AD7" w:rsidRDefault="00505633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 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BC78E27" w14:textId="77777777" w:rsidR="00505633" w:rsidRPr="00B50AD7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1A5343A" w14:textId="77777777" w:rsidR="00505633" w:rsidRPr="00B50AD7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9D176ED" w14:textId="77777777" w:rsidR="00505633" w:rsidRPr="00B50AD7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B50AD7" w14:paraId="53D525BF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524BE6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DA837B2" w14:textId="5046FF2E" w:rsidR="00BB082A" w:rsidRPr="00B50AD7" w:rsidRDefault="00DE73D5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/sub-investimento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96DAB2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4C3BB5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9B533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E73D5" w:rsidRPr="00B50AD7" w14:paraId="19C2CDA1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679E7D4" w14:textId="77777777" w:rsidR="00DE73D5" w:rsidRPr="00B50AD7" w:rsidRDefault="00DE73D5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2DBF7254" w14:textId="70276338" w:rsidR="00DE73D5" w:rsidRPr="00B50AD7" w:rsidRDefault="00DE73D5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491D0D7" w14:textId="77777777" w:rsidR="00DE73D5" w:rsidRPr="00B50AD7" w:rsidRDefault="00DE73D5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9059729" w14:textId="77777777" w:rsidR="00DE73D5" w:rsidRPr="00B50AD7" w:rsidRDefault="00DE73D5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684A536" w14:textId="77777777" w:rsidR="00DE73D5" w:rsidRPr="00B50AD7" w:rsidRDefault="00DE73D5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07A3AEDA" w14:textId="77777777" w:rsidTr="003E4771">
        <w:trPr>
          <w:gridAfter w:val="1"/>
          <w:wAfter w:w="23" w:type="pct"/>
          <w:trHeight w:val="397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CCF3B4C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522AC4C" w14:textId="5F9D2810" w:rsidR="00DE73D5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E38C9B5" w14:textId="2B16E746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9F0663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C4D171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61CAC23E" w14:textId="77777777" w:rsidTr="003E4771">
        <w:trPr>
          <w:gridAfter w:val="1"/>
          <w:wAfter w:w="23" w:type="pct"/>
          <w:trHeight w:val="397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A034B6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6912EF59" w14:textId="77777777" w:rsidR="00DE73D5" w:rsidRPr="00FF4FB3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675233E" w14:textId="6C6159A6" w:rsidR="00DE73D5" w:rsidRPr="00856B3D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6D5C94E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2988F9F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01E9EDFE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A72E2EF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478C184" w14:textId="0BF30958" w:rsidR="00DE73D5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7A4C4DD" w14:textId="74E410B1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2118F1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C6BA68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3A436D7D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56D51DE7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8E90CD2" w14:textId="05BA198A" w:rsidR="00DE73D5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F9DAF54" w14:textId="77777777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5BF797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36400A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7BA699F3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5205A816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0E3A7F" w14:textId="64B38FF2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CUP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2E6E032" w14:textId="77777777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33B1A3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327B08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20A06E8D" w14:textId="77777777" w:rsidTr="003E4771">
        <w:trPr>
          <w:gridAfter w:val="1"/>
          <w:wAfter w:w="23" w:type="pct"/>
          <w:trHeight w:val="431"/>
        </w:trPr>
        <w:tc>
          <w:tcPr>
            <w:tcW w:w="93" w:type="pct"/>
            <w:vMerge w:val="restar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2A3CD21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1014940" w14:textId="770B2C4B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963E30E" w14:textId="7C0997DD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clima</w:t>
            </w:r>
          </w:p>
        </w:tc>
        <w:tc>
          <w:tcPr>
            <w:tcW w:w="93" w:type="pct"/>
            <w:gridSpan w:val="2"/>
            <w:vMerge w:val="restart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80A82E0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64BAFB5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2AD5F537" w14:textId="77777777" w:rsidTr="003E4771">
        <w:trPr>
          <w:gridAfter w:val="1"/>
          <w:wAfter w:w="23" w:type="pct"/>
          <w:trHeight w:val="431"/>
        </w:trPr>
        <w:tc>
          <w:tcPr>
            <w:tcW w:w="93" w:type="pct"/>
            <w:vMerge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2AFBC58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AD92879" w14:textId="77777777" w:rsidR="00DE73D5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F2A61C" w14:textId="018457CD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93" w:type="pct"/>
            <w:gridSpan w:val="2"/>
            <w:vMerge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DB7FA0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BBF5EB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11458EB2" w14:textId="77777777" w:rsidTr="003E4771">
        <w:trPr>
          <w:gridAfter w:val="1"/>
          <w:wAfter w:w="23" w:type="pct"/>
          <w:trHeight w:val="431"/>
        </w:trPr>
        <w:tc>
          <w:tcPr>
            <w:tcW w:w="93" w:type="pct"/>
            <w:vMerge w:val="restar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3CEB49F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BF40516" w14:textId="76265DFA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Principi/priorità trasversali PNRR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B740837" w14:textId="0F7DD6D9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parità di genere (Gender Equality</w:t>
            </w:r>
            <w:r>
              <w:rPr>
                <w:rFonts w:ascii="Garamond" w:eastAsia="Times New Roman" w:hAnsi="Garamond" w:cstheme="minorHAnsi"/>
                <w:lang w:eastAsia="it-IT"/>
              </w:rPr>
              <w:t>)</w:t>
            </w:r>
          </w:p>
        </w:tc>
        <w:tc>
          <w:tcPr>
            <w:tcW w:w="93" w:type="pct"/>
            <w:gridSpan w:val="2"/>
            <w:vMerge w:val="restart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0D6BFD20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DA719F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525794B4" w14:textId="77777777" w:rsidTr="003E4771">
        <w:trPr>
          <w:gridAfter w:val="1"/>
          <w:wAfter w:w="23" w:type="pct"/>
          <w:trHeight w:val="431"/>
        </w:trPr>
        <w:tc>
          <w:tcPr>
            <w:tcW w:w="93" w:type="pct"/>
            <w:vMerge/>
            <w:tcBorders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5456638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26F6B34" w14:textId="77777777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708334" w14:textId="3532D376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</w:p>
        </w:tc>
        <w:tc>
          <w:tcPr>
            <w:tcW w:w="93" w:type="pct"/>
            <w:gridSpan w:val="2"/>
            <w:vMerge/>
            <w:tcBorders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2664F83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A05248A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5F03B9DD" w14:textId="77777777" w:rsidTr="003E4771">
        <w:trPr>
          <w:gridAfter w:val="1"/>
          <w:wAfter w:w="23" w:type="pct"/>
          <w:trHeight w:val="431"/>
        </w:trPr>
        <w:tc>
          <w:tcPr>
            <w:tcW w:w="93" w:type="pct"/>
            <w:vMerge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49301866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524E9BB" w14:textId="77777777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4277B43" w14:textId="5C7A3544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</w:tc>
        <w:tc>
          <w:tcPr>
            <w:tcW w:w="93" w:type="pct"/>
            <w:gridSpan w:val="2"/>
            <w:vMerge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B06206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AD7238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2EFD0CB2" w14:textId="77777777" w:rsidTr="003E4771">
        <w:trPr>
          <w:gridAfter w:val="1"/>
          <w:wAfter w:w="23" w:type="pct"/>
          <w:trHeight w:val="431"/>
        </w:trPr>
        <w:tc>
          <w:tcPr>
            <w:tcW w:w="93" w:type="pct"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7BEDE67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066E930" w14:textId="77777777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0CB31F" w14:textId="7C04F8EB" w:rsidR="00DE73D5" w:rsidRPr="00E82DF8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03FD0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93" w:type="pct"/>
            <w:gridSpan w:val="2"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40A08D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5C1776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7897BE31" w14:textId="77777777" w:rsidTr="003E4771">
        <w:trPr>
          <w:gridAfter w:val="1"/>
          <w:wAfter w:w="23" w:type="pct"/>
          <w:trHeight w:val="338"/>
        </w:trPr>
        <w:tc>
          <w:tcPr>
            <w:tcW w:w="93" w:type="pct"/>
            <w:vMerge w:val="restar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97C853F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910AB16" w14:textId="3B62C5C4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F8045BB" w14:textId="06FD901F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</w:tc>
        <w:tc>
          <w:tcPr>
            <w:tcW w:w="93" w:type="pct"/>
            <w:gridSpan w:val="2"/>
            <w:vMerge w:val="restart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06FFEF81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393CFCD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72AF4810" w14:textId="77777777" w:rsidTr="003E4771">
        <w:trPr>
          <w:gridAfter w:val="1"/>
          <w:wAfter w:w="23" w:type="pct"/>
          <w:trHeight w:val="338"/>
        </w:trPr>
        <w:tc>
          <w:tcPr>
            <w:tcW w:w="93" w:type="pct"/>
            <w:vMerge/>
            <w:tcBorders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242A93F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2638565" w14:textId="77777777" w:rsidR="00DE73D5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F012D4F" w14:textId="7066687D" w:rsidR="00DE73D5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</w:tc>
        <w:tc>
          <w:tcPr>
            <w:tcW w:w="93" w:type="pct"/>
            <w:gridSpan w:val="2"/>
            <w:vMerge/>
            <w:tcBorders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3423B0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49F7AC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3D5" w:rsidRPr="00B50AD7" w14:paraId="598F4A02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70C25C45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B5ABC4C" w14:textId="7701B9FD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totale progetto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F6ABEB" w14:textId="3ED34053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E1709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684BE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E73D5" w:rsidRPr="00B50AD7" w14:paraId="729D0A50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9171886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614B8CD" w14:textId="47021B74" w:rsidR="00DE73D5" w:rsidRPr="00B50AD7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4026E6F" w14:textId="35DFDC2A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3699E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7D5AD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E73D5" w:rsidRPr="00B50AD7" w14:paraId="61A7875F" w14:textId="77777777" w:rsidTr="003E477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70249F8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47F3891" w14:textId="77777777" w:rsidR="00DE73D5" w:rsidRDefault="00DE73D5" w:rsidP="00DE73D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DDC7EE5" w14:textId="7FAA11C0" w:rsidR="00DE73D5" w:rsidRPr="00B50AD7" w:rsidRDefault="00DE73D5" w:rsidP="00DE73D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EFCDBD3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8A162D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81A519" w14:textId="77777777" w:rsidR="00DE73D5" w:rsidRPr="00B50AD7" w:rsidRDefault="00DE73D5" w:rsidP="00DE73D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280F4D7C" w14:textId="77777777" w:rsidR="00D135F3" w:rsidRPr="00B50AD7" w:rsidRDefault="00D135F3">
      <w:pPr>
        <w:rPr>
          <w:rFonts w:ascii="Garamond" w:hAnsi="Garamond"/>
        </w:rPr>
      </w:pPr>
    </w:p>
    <w:p w14:paraId="34BFE39B" w14:textId="77777777" w:rsidR="00043F3E" w:rsidRDefault="00043F3E">
      <w:pPr>
        <w:rPr>
          <w:rFonts w:ascii="Garamond" w:hAnsi="Garamond"/>
        </w:rPr>
        <w:sectPr w:rsidR="00043F3E" w:rsidSect="00BB082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4710"/>
        <w:gridCol w:w="532"/>
        <w:gridCol w:w="658"/>
        <w:gridCol w:w="704"/>
        <w:gridCol w:w="2227"/>
        <w:gridCol w:w="1372"/>
        <w:gridCol w:w="4534"/>
      </w:tblGrid>
      <w:tr w:rsidR="00F63F03" w:rsidRPr="00B50AD7" w14:paraId="1C8EFDA5" w14:textId="7E2542C6" w:rsidTr="003E4771">
        <w:trPr>
          <w:trHeight w:val="1500"/>
          <w:tblHeader/>
        </w:trPr>
        <w:tc>
          <w:tcPr>
            <w:tcW w:w="1740" w:type="pct"/>
            <w:gridSpan w:val="2"/>
            <w:shd w:val="clear" w:color="auto" w:fill="00B050"/>
            <w:vAlign w:val="center"/>
            <w:hideMark/>
          </w:tcPr>
          <w:p w14:paraId="71DC9085" w14:textId="1004C6D1" w:rsidR="00F63F03" w:rsidRPr="00B50AD7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V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erifica Selezione personale esterno </w:t>
            </w:r>
          </w:p>
        </w:tc>
        <w:tc>
          <w:tcPr>
            <w:tcW w:w="173" w:type="pct"/>
            <w:shd w:val="clear" w:color="auto" w:fill="00B050"/>
            <w:vAlign w:val="center"/>
            <w:hideMark/>
          </w:tcPr>
          <w:p w14:paraId="35A12006" w14:textId="77777777" w:rsidR="00F63F03" w:rsidRPr="00B50AD7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14" w:type="pct"/>
            <w:shd w:val="clear" w:color="auto" w:fill="00B050"/>
            <w:vAlign w:val="center"/>
            <w:hideMark/>
          </w:tcPr>
          <w:p w14:paraId="01565AA1" w14:textId="77777777" w:rsidR="00F63F03" w:rsidRPr="00B50AD7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29" w:type="pct"/>
            <w:shd w:val="clear" w:color="auto" w:fill="00B050"/>
            <w:vAlign w:val="center"/>
            <w:hideMark/>
          </w:tcPr>
          <w:p w14:paraId="68DF7ACC" w14:textId="77777777" w:rsidR="00F63F03" w:rsidRPr="00B50AD7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724" w:type="pct"/>
            <w:shd w:val="clear" w:color="auto" w:fill="00B050"/>
            <w:vAlign w:val="center"/>
            <w:hideMark/>
          </w:tcPr>
          <w:p w14:paraId="3059D634" w14:textId="77777777" w:rsidR="00F63F03" w:rsidRPr="00B34528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6477240A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Elenco dei documenti</w:t>
            </w:r>
          </w:p>
          <w:p w14:paraId="6076D9AC" w14:textId="017B49A2" w:rsidR="00F63F03" w:rsidRPr="00B50AD7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3452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446" w:type="pct"/>
            <w:shd w:val="clear" w:color="auto" w:fill="00B050"/>
            <w:vAlign w:val="center"/>
            <w:hideMark/>
          </w:tcPr>
          <w:p w14:paraId="4A898090" w14:textId="19F98F54" w:rsidR="00F63F03" w:rsidRPr="00B50AD7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74" w:type="pct"/>
            <w:shd w:val="clear" w:color="auto" w:fill="92D050"/>
            <w:vAlign w:val="center"/>
          </w:tcPr>
          <w:p w14:paraId="767FA41B" w14:textId="39C5A10C" w:rsidR="00F63F03" w:rsidRPr="008F151A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101CAC" w:rsidRPr="00023F3C" w14:paraId="58DA8485" w14:textId="38E767A8" w:rsidTr="003E4771">
        <w:trPr>
          <w:trHeight w:val="449"/>
        </w:trPr>
        <w:tc>
          <w:tcPr>
            <w:tcW w:w="209" w:type="pct"/>
            <w:shd w:val="clear" w:color="auto" w:fill="92D050"/>
            <w:vAlign w:val="center"/>
            <w:hideMark/>
          </w:tcPr>
          <w:p w14:paraId="34A55CA3" w14:textId="1E54A1F9" w:rsidR="00101CAC" w:rsidRPr="00023F3C" w:rsidRDefault="00101CAC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791" w:type="pct"/>
            <w:gridSpan w:val="7"/>
            <w:shd w:val="clear" w:color="auto" w:fill="92D050"/>
            <w:vAlign w:val="center"/>
            <w:hideMark/>
          </w:tcPr>
          <w:p w14:paraId="20807A1D" w14:textId="6BBB991C" w:rsidR="00101CAC" w:rsidRPr="00023F3C" w:rsidRDefault="00101CAC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76A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Valutazione di coerenza 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della procedura di selezione con il </w:t>
            </w:r>
            <w:r w:rsidRPr="00576A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PNRR </w:t>
            </w:r>
          </w:p>
        </w:tc>
      </w:tr>
      <w:tr w:rsidR="00F63F03" w:rsidRPr="00023F3C" w14:paraId="683DB1B8" w14:textId="77777777" w:rsidTr="006A3081">
        <w:trPr>
          <w:trHeight w:val="1134"/>
        </w:trPr>
        <w:tc>
          <w:tcPr>
            <w:tcW w:w="209" w:type="pct"/>
            <w:shd w:val="clear" w:color="auto" w:fill="auto"/>
            <w:vAlign w:val="center"/>
          </w:tcPr>
          <w:p w14:paraId="236AED3E" w14:textId="64251E5D" w:rsidR="00F63F03" w:rsidRPr="00023F3C" w:rsidRDefault="00F63F03" w:rsidP="00F63F0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81C3305" w14:textId="7B48228C" w:rsidR="00F63F03" w:rsidRPr="00023F3C" w:rsidRDefault="00F63F03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lang w:eastAsia="it-IT"/>
              </w:rPr>
              <w:t>selezione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 oggetto di controllo è coerente con la scheda progetto finanziata dal PNRR nell’ambito della relativa</w:t>
            </w:r>
            <w:r w:rsidR="00F47C76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m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>issione/componente/</w:t>
            </w:r>
            <w:r>
              <w:rPr>
                <w:rFonts w:ascii="Garamond" w:eastAsia="Times New Roman" w:hAnsi="Garamond" w:cs="Times New Roman"/>
                <w:lang w:eastAsia="it-IT"/>
              </w:rPr>
              <w:t>misura/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>investimento</w:t>
            </w:r>
            <w:r>
              <w:rPr>
                <w:rFonts w:ascii="Garamond" w:eastAsia="Times New Roman" w:hAnsi="Garamond" w:cs="Times New Roman"/>
                <w:lang w:eastAsia="it-IT"/>
              </w:rPr>
              <w:t>/riforma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 e gli obiettivi della procedura </w:t>
            </w:r>
            <w:r w:rsidRPr="0052724A">
              <w:rPr>
                <w:rFonts w:ascii="Garamond" w:hAnsi="Garamond" w:cs="Calibri"/>
                <w:shd w:val="clear" w:color="auto" w:fill="FFFFFF"/>
              </w:rPr>
              <w:t>sono individuati in coerenza con l’art. 4 del Regolamento (UE) 2021</w:t>
            </w:r>
            <w:r w:rsidR="0051675E">
              <w:rPr>
                <w:rFonts w:ascii="Garamond" w:hAnsi="Garamond" w:cs="Calibri"/>
                <w:shd w:val="clear" w:color="auto" w:fill="FFFFFF"/>
              </w:rPr>
              <w:t>/241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? 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4CDE3C4E" w14:textId="77777777" w:rsidR="00F63F03" w:rsidRPr="00023F3C" w:rsidRDefault="00F63F03" w:rsidP="00F63F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04BC4EFC" w14:textId="77777777" w:rsidR="00F63F03" w:rsidRPr="00023F3C" w:rsidRDefault="00F63F03" w:rsidP="00F63F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472EDA6F" w14:textId="77777777" w:rsidR="00F63F03" w:rsidRPr="00023F3C" w:rsidRDefault="00F63F03" w:rsidP="00F63F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6B7EB9B3" w14:textId="6583EB23" w:rsidR="00F63F03" w:rsidRPr="00023F3C" w:rsidRDefault="00F63F03" w:rsidP="00F63F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7A6FF03" w14:textId="77777777" w:rsidR="00F63F03" w:rsidRPr="00023F3C" w:rsidRDefault="00F63F03" w:rsidP="00F63F0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24009F2F" w14:textId="77777777" w:rsidR="00F63F03" w:rsidRPr="00010DB6" w:rsidRDefault="00F63F03" w:rsidP="00F63F0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C05436A" w14:textId="2880CF95" w:rsidR="000F17A6" w:rsidRDefault="000F17A6" w:rsidP="00F63F0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7AFBB449" w14:textId="77777777" w:rsidR="00F63F03" w:rsidRDefault="00F63F03" w:rsidP="00F63F0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5C920103" w14:textId="590911DF" w:rsidR="0028365A" w:rsidRPr="00023F3C" w:rsidRDefault="0028365A" w:rsidP="00F63F0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</w:tc>
      </w:tr>
      <w:tr w:rsidR="00C54426" w:rsidRPr="00023F3C" w14:paraId="5FA564BA" w14:textId="77777777" w:rsidTr="006A3081">
        <w:trPr>
          <w:trHeight w:val="1447"/>
        </w:trPr>
        <w:tc>
          <w:tcPr>
            <w:tcW w:w="209" w:type="pct"/>
            <w:shd w:val="clear" w:color="auto" w:fill="auto"/>
            <w:vAlign w:val="center"/>
          </w:tcPr>
          <w:p w14:paraId="0AFF0B56" w14:textId="643E571D" w:rsidR="00C54426" w:rsidRPr="00023F3C" w:rsidRDefault="00C54426" w:rsidP="00C5442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562A05B" w14:textId="30692A25" w:rsidR="00C54426" w:rsidRPr="00566776" w:rsidRDefault="00C54426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 rispetta</w:t>
            </w:r>
            <w:r>
              <w:t xml:space="preserve">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orizzontale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del “</w:t>
            </w:r>
            <w:r w:rsidRPr="0051675E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Do No </w:t>
            </w:r>
            <w:proofErr w:type="spellStart"/>
            <w:r w:rsidRPr="0051675E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Significant</w:t>
            </w:r>
            <w:proofErr w:type="spellEnd"/>
            <w:r w:rsidRPr="0051675E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51675E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Harm</w:t>
            </w:r>
            <w:proofErr w:type="spellEnd"/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63AEB326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401BAED1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010E64FE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20450851" w14:textId="0DF96FB0" w:rsidR="00C54426" w:rsidRPr="00937EE3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135CCD11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06EE94C3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9CDB7D0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3411582B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2E43CEA3" w14:textId="7A5B1F99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  <w:p w14:paraId="6A33C8A5" w14:textId="44A5F8BA" w:rsidR="00C54426" w:rsidRPr="00023F3C" w:rsidRDefault="00C54426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 o dichiarazione assolvimento del principio DNSH</w:t>
            </w:r>
          </w:p>
        </w:tc>
      </w:tr>
      <w:tr w:rsidR="00C54426" w:rsidRPr="00023F3C" w14:paraId="0BA66C3E" w14:textId="77777777" w:rsidTr="006A3081">
        <w:trPr>
          <w:trHeight w:val="1134"/>
        </w:trPr>
        <w:tc>
          <w:tcPr>
            <w:tcW w:w="209" w:type="pct"/>
            <w:shd w:val="clear" w:color="auto" w:fill="auto"/>
            <w:vAlign w:val="center"/>
          </w:tcPr>
          <w:p w14:paraId="091014B6" w14:textId="2FD70A51" w:rsidR="00C54426" w:rsidRDefault="00C54426" w:rsidP="00C5442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67607F62" w14:textId="4D829034" w:rsidR="00C54426" w:rsidRDefault="00C54426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 rispetta</w:t>
            </w:r>
            <w:r>
              <w:t xml:space="preserve">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seguenti principali ai sensi degli artt. 5 e 9 del Regolamento (UE) 2021/241?</w:t>
            </w:r>
          </w:p>
          <w:p w14:paraId="5913F882" w14:textId="1E404FFB" w:rsidR="00C54426" w:rsidRPr="00E84C7F" w:rsidRDefault="00C54426" w:rsidP="00F47C76">
            <w:pPr>
              <w:spacing w:after="0" w:line="240" w:lineRule="auto"/>
              <w:ind w:left="359"/>
              <w:jc w:val="both"/>
              <w:rPr>
                <w:rFonts w:ascii="Garamond" w:hAnsi="Garamond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a) </w:t>
            </w:r>
            <w:r w:rsidRPr="00E84C7F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Pr="00E84C7F">
              <w:rPr>
                <w:rFonts w:ascii="Garamond" w:hAnsi="Garamond"/>
              </w:rPr>
              <w:t>investimento non sostituisce le spese nazionali correnti</w:t>
            </w:r>
            <w:r>
              <w:rPr>
                <w:rFonts w:ascii="Garamond" w:hAnsi="Garamond"/>
              </w:rPr>
              <w:t>;</w:t>
            </w:r>
          </w:p>
          <w:p w14:paraId="48F75126" w14:textId="1B0B9CA8" w:rsidR="00C54426" w:rsidRPr="00023F3C" w:rsidRDefault="00C54426" w:rsidP="00F47C76">
            <w:pPr>
              <w:spacing w:after="0" w:line="240" w:lineRule="auto"/>
              <w:ind w:left="359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84C7F">
              <w:rPr>
                <w:rFonts w:ascii="Garamond" w:hAnsi="Garamond"/>
              </w:rPr>
              <w:t>b) l’investimento UE è addizionale e</w:t>
            </w:r>
            <w:r>
              <w:rPr>
                <w:rFonts w:ascii="Garamond" w:hAnsi="Garamond"/>
              </w:rPr>
              <w:t xml:space="preserve"> </w:t>
            </w:r>
            <w:r w:rsidRPr="00E84C7F">
              <w:rPr>
                <w:rFonts w:ascii="Garamond" w:hAnsi="Garamond"/>
              </w:rPr>
              <w:t>complementare</w:t>
            </w:r>
            <w:r>
              <w:rPr>
                <w:rFonts w:ascii="Garamond" w:hAnsi="Garamond"/>
              </w:rPr>
              <w:t xml:space="preserve"> </w:t>
            </w:r>
            <w:r w:rsidRPr="00E84C7F">
              <w:rPr>
                <w:rFonts w:ascii="Garamond" w:hAnsi="Garamond"/>
              </w:rPr>
              <w:t xml:space="preserve">al sostegno fornito nell'ambito di altri programmi e strumenti dell'Unione 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2F10023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029F16AF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2C35F47E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2CF1531A" w14:textId="18417D6B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410DE84F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74CFA750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D529C33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453F3F59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782AD49F" w14:textId="266E059C" w:rsidR="00C5442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  <w:p w14:paraId="4D95ECB3" w14:textId="1103FF50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C54426" w:rsidRPr="00023F3C" w14:paraId="3D68F6E0" w14:textId="77777777" w:rsidTr="006A3081">
        <w:trPr>
          <w:trHeight w:val="1134"/>
        </w:trPr>
        <w:tc>
          <w:tcPr>
            <w:tcW w:w="209" w:type="pct"/>
            <w:shd w:val="clear" w:color="auto" w:fill="auto"/>
            <w:vAlign w:val="center"/>
          </w:tcPr>
          <w:p w14:paraId="30908A1E" w14:textId="682DDC3D" w:rsidR="00C54426" w:rsidRDefault="00C54426" w:rsidP="00C5442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40F77BE" w14:textId="24E2EEAA" w:rsidR="00C54426" w:rsidRPr="00023F3C" w:rsidRDefault="00C54426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contribuisce al principio del </w:t>
            </w:r>
            <w:r w:rsidRPr="00C54426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clima o del </w:t>
            </w:r>
            <w:r w:rsidRPr="00C54426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digitale?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0717B81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2C9BE8A5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7438C12E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4057E73D" w14:textId="7C8F068B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074EEDCC" w14:textId="77777777" w:rsidR="00C54426" w:rsidRPr="00023F3C" w:rsidRDefault="00C54426" w:rsidP="00C5442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569D0B35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1C3CF7C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2FFBC315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791A7E7C" w14:textId="08734FB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  <w:p w14:paraId="7A056E64" w14:textId="23B886DC" w:rsidR="00C54426" w:rsidRPr="00023F3C" w:rsidRDefault="00C54426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28365A" w:rsidRPr="00023F3C" w14:paraId="0D930C47" w14:textId="77777777" w:rsidTr="006A3081">
        <w:trPr>
          <w:trHeight w:val="1134"/>
        </w:trPr>
        <w:tc>
          <w:tcPr>
            <w:tcW w:w="209" w:type="pct"/>
            <w:shd w:val="clear" w:color="auto" w:fill="auto"/>
            <w:vAlign w:val="center"/>
          </w:tcPr>
          <w:p w14:paraId="63A87B82" w14:textId="61E51850" w:rsidR="0028365A" w:rsidRPr="00023F3C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36585E5" w14:textId="70C9553F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 rispetta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 seguenti principi trasversali previsti dal Regolamento (UE) 2021/241:</w:t>
            </w:r>
          </w:p>
          <w:p w14:paraId="2B1F258B" w14:textId="5116888C" w:rsidR="0028365A" w:rsidRPr="00FB3FA6" w:rsidRDefault="0028365A" w:rsidP="0028365A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della parità di genere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ove pertinente</w:t>
            </w: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107C79E2" w14:textId="7D2D6775" w:rsidR="0028365A" w:rsidRDefault="0028365A" w:rsidP="0028365A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ove pertinente</w:t>
            </w:r>
          </w:p>
          <w:p w14:paraId="519725B5" w14:textId="59BE543C" w:rsidR="0028365A" w:rsidRPr="00FB3FA6" w:rsidRDefault="0028365A" w:rsidP="0028365A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di superamento dei divari territoriali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ove pertinente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2E8E77C8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2A960422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582942F9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41FB3442" w14:textId="0E32F738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5D108DB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359363AF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2640A7C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02F3360E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476D6611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  <w:p w14:paraId="5F1A4341" w14:textId="4AF16FBF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28365A" w:rsidRPr="00023F3C" w14:paraId="1F2972DA" w14:textId="77777777" w:rsidTr="006A3081">
        <w:trPr>
          <w:trHeight w:val="1134"/>
        </w:trPr>
        <w:tc>
          <w:tcPr>
            <w:tcW w:w="209" w:type="pct"/>
            <w:shd w:val="clear" w:color="auto" w:fill="auto"/>
            <w:vAlign w:val="center"/>
          </w:tcPr>
          <w:p w14:paraId="4E254015" w14:textId="71E4BDAF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06183E46" w14:textId="34F2418E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 rispetta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gli obblighi di informazione comunicazione e pubblicità </w:t>
            </w:r>
            <w:r w:rsidRPr="000011E7">
              <w:rPr>
                <w:rFonts w:ascii="Garamond" w:hAnsi="Garamond"/>
              </w:rPr>
              <w:t>previsti dall’art.34 del Regolamento (UE) 2021/241?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6B19B255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53DB5BD7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215F35C7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5C9ED1A2" w14:textId="20995BA6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53DD127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6CAD7477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559FC21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782A646A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631B08B2" w14:textId="3ED678B3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</w:tc>
      </w:tr>
      <w:tr w:rsidR="0028365A" w:rsidRPr="00023F3C" w14:paraId="741EDF07" w14:textId="77777777" w:rsidTr="006A3081">
        <w:trPr>
          <w:trHeight w:val="1134"/>
        </w:trPr>
        <w:tc>
          <w:tcPr>
            <w:tcW w:w="209" w:type="pct"/>
            <w:shd w:val="clear" w:color="auto" w:fill="auto"/>
            <w:vAlign w:val="center"/>
          </w:tcPr>
          <w:p w14:paraId="7BD67455" w14:textId="08DC10A8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6D39CFD9" w14:textId="4CC9BAD4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procedura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selezione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contribuisce al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conseguimento dei </w:t>
            </w:r>
            <w:r w:rsidRPr="00C54426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target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delle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54426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milestones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nell’ambito della misura/investimento/riforma?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DE7A90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1B4D1CE2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7859D6AD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298D9D1D" w14:textId="2BA41F5E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38D13B86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27381041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2CD467C1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6B9D1E4B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05A01285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  <w:p w14:paraId="4DE5634A" w14:textId="68F321C0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28365A" w:rsidRPr="00023F3C" w14:paraId="69DFD9B5" w14:textId="77777777" w:rsidTr="006A3081">
        <w:trPr>
          <w:trHeight w:val="1134"/>
        </w:trPr>
        <w:tc>
          <w:tcPr>
            <w:tcW w:w="209" w:type="pct"/>
            <w:shd w:val="clear" w:color="auto" w:fill="auto"/>
            <w:vAlign w:val="center"/>
          </w:tcPr>
          <w:p w14:paraId="38EED121" w14:textId="394290C2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CD9AB6A" w14:textId="509AC0E3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previste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rispettate le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indicazioni circa la conservazione e la messa a disposizione di atti e documenti al fine di consentire l'accertamento della regolarità della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anche tramite il sistema informativo ReGiS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? 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0591E5D7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492B24E6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17336373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297AE8BA" w14:textId="537E2123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6B3EF904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1A5F7A70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BE8DA3A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0F08BE1D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5D72063F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  <w:p w14:paraId="69E3F94C" w14:textId="7A668310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101CAC" w:rsidRPr="00023F3C" w14:paraId="56BCFF4F" w14:textId="77777777" w:rsidTr="003E4771">
        <w:trPr>
          <w:trHeight w:val="406"/>
        </w:trPr>
        <w:tc>
          <w:tcPr>
            <w:tcW w:w="209" w:type="pct"/>
            <w:shd w:val="clear" w:color="auto" w:fill="92D050"/>
            <w:vAlign w:val="center"/>
          </w:tcPr>
          <w:p w14:paraId="651DF0D5" w14:textId="29B13884" w:rsidR="00101CAC" w:rsidRPr="002C13A0" w:rsidRDefault="00101CAC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B</w:t>
            </w:r>
          </w:p>
        </w:tc>
        <w:tc>
          <w:tcPr>
            <w:tcW w:w="4791" w:type="pct"/>
            <w:gridSpan w:val="7"/>
            <w:shd w:val="clear" w:color="auto" w:fill="92D050"/>
            <w:vAlign w:val="center"/>
          </w:tcPr>
          <w:p w14:paraId="65F08220" w14:textId="08479011" w:rsidR="00101CAC" w:rsidRPr="00023F3C" w:rsidRDefault="00101CAC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 r</w:t>
            </w:r>
            <w:r w:rsidRPr="00023F3C">
              <w:rPr>
                <w:rFonts w:ascii="Garamond" w:eastAsia="Times New Roman" w:hAnsi="Garamond" w:cs="Times New Roman"/>
                <w:b/>
                <w:bCs/>
                <w:lang w:eastAsia="it-IT"/>
              </w:rPr>
              <w:t>ispetto della normativa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specifica PNRR</w:t>
            </w:r>
          </w:p>
        </w:tc>
      </w:tr>
      <w:tr w:rsidR="0028365A" w:rsidRPr="00023F3C" w14:paraId="36B0AF31" w14:textId="77777777" w:rsidTr="00B81EEB">
        <w:trPr>
          <w:trHeight w:val="60"/>
        </w:trPr>
        <w:tc>
          <w:tcPr>
            <w:tcW w:w="209" w:type="pct"/>
            <w:shd w:val="clear" w:color="auto" w:fill="auto"/>
            <w:vAlign w:val="center"/>
          </w:tcPr>
          <w:p w14:paraId="4A406F8E" w14:textId="70371919" w:rsidR="0028365A" w:rsidDel="00600D17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5046BCF" w14:textId="5C74C8CD" w:rsidR="0028365A" w:rsidRPr="00D123D9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La selezione di personale esterno oggetto di verifica è svolta da una pubblica amministrazione titolare di uno/più interventi finanziati dal PNRR, l</w:t>
            </w:r>
            <w:r w:rsidRPr="005600AF">
              <w:rPr>
                <w:rFonts w:ascii="Garamond" w:eastAsia="Times New Roman" w:hAnsi="Garamond" w:cs="Times New Roman"/>
                <w:color w:val="000000"/>
                <w:lang w:eastAsia="it-IT"/>
              </w:rPr>
              <w:t>imitatamente agli incarichi di collaborazione 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5600AF">
              <w:rPr>
                <w:rFonts w:ascii="Garamond" w:eastAsia="Times New Roman" w:hAnsi="Garamond" w:cs="Times New Roman"/>
                <w:color w:val="000000"/>
                <w:lang w:eastAsia="it-IT"/>
              </w:rPr>
              <w:t>cui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5600AF">
              <w:rPr>
                <w:rFonts w:ascii="Garamond" w:eastAsia="Times New Roman" w:hAnsi="Garamond" w:cs="Times New Roman"/>
                <w:color w:val="000000"/>
                <w:lang w:eastAsia="it-IT"/>
              </w:rPr>
              <w:t>al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l’art.1, </w:t>
            </w:r>
            <w:r w:rsidRPr="005600AF">
              <w:rPr>
                <w:rFonts w:ascii="Garamond" w:eastAsia="Times New Roman" w:hAnsi="Garamond" w:cs="Times New Roman"/>
                <w:color w:val="000000"/>
                <w:lang w:eastAsia="it-IT"/>
              </w:rPr>
              <w:t>comma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5600AF">
              <w:rPr>
                <w:rFonts w:ascii="Garamond" w:eastAsia="Times New Roman" w:hAnsi="Garamond" w:cs="Times New Roman"/>
                <w:color w:val="000000"/>
                <w:lang w:eastAsia="it-IT"/>
              </w:rPr>
              <w:t>5, lettera a)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della legge 113/2021</w:t>
            </w:r>
            <w:r w:rsidRPr="005600AF">
              <w:rPr>
                <w:rFonts w:ascii="Garamond" w:eastAsia="Times New Roman" w:hAnsi="Garamond" w:cs="Times New Roman"/>
                <w:color w:val="000000"/>
                <w:lang w:eastAsia="it-IT"/>
              </w:rPr>
              <w:t>, necessari all'assistenza tecnica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35A8BA25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24F9DE08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20C7A26A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25AE7741" w14:textId="77777777" w:rsidR="0028365A" w:rsidRPr="00023F3C" w:rsidDel="00600D1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3121BBAD" w14:textId="47D30A31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5B0C2DBA" w14:textId="1A8CD2DC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278202D0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26FAA97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0F01908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65FD07E5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7629A520" w14:textId="7CDCCAE2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</w:tc>
      </w:tr>
      <w:tr w:rsidR="0028365A" w:rsidRPr="00023F3C" w14:paraId="7E1B071A" w14:textId="77777777" w:rsidTr="00767CA7">
        <w:trPr>
          <w:trHeight w:val="998"/>
        </w:trPr>
        <w:tc>
          <w:tcPr>
            <w:tcW w:w="209" w:type="pct"/>
            <w:shd w:val="clear" w:color="auto" w:fill="auto"/>
            <w:vAlign w:val="center"/>
          </w:tcPr>
          <w:p w14:paraId="50A4125F" w14:textId="05CE4DC5" w:rsidR="0028365A" w:rsidRPr="00023F3C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161B388" w14:textId="516064F3" w:rsidR="0028365A" w:rsidRPr="00025D50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personale esterno da reclutarsi sarà s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pecificamente destinato a realizzare i progetti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/interventi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cui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l’Amministrazione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ha la diretta titolarit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à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di attuazione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C314D42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6A6DC98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10D9E145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1A3CCA4" w14:textId="4B098AC1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53EE685F" w14:textId="5DB477A1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3CE8819E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672FA9F1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A976AA1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DE2616E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40C0829E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7C26F893" w14:textId="5906EB5B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</w:tc>
      </w:tr>
      <w:tr w:rsidR="0028365A" w:rsidRPr="00023F3C" w14:paraId="2C61657D" w14:textId="77777777" w:rsidTr="00767CA7">
        <w:trPr>
          <w:trHeight w:val="828"/>
        </w:trPr>
        <w:tc>
          <w:tcPr>
            <w:tcW w:w="209" w:type="pct"/>
            <w:shd w:val="clear" w:color="auto" w:fill="auto"/>
            <w:vAlign w:val="center"/>
          </w:tcPr>
          <w:p w14:paraId="3304747E" w14:textId="7A55269F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CF5DDBD" w14:textId="5B435896" w:rsidR="0028365A" w:rsidRPr="005F3975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reclutamento del personale esterno avviene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nei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limiti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degli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importi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previsti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dalle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corrispondenti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voci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costo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del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A50FB">
              <w:rPr>
                <w:rFonts w:ascii="Garamond" w:eastAsia="Times New Roman" w:hAnsi="Garamond" w:cs="Times New Roman"/>
                <w:color w:val="000000"/>
                <w:lang w:eastAsia="it-IT"/>
              </w:rPr>
              <w:t>quadro economico del progetto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0F487EF2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6B3AB0E0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45A06C99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367300B9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4EF9C8F" w14:textId="40B235B9" w:rsidR="0028365A" w:rsidRPr="00767CA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790D5997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1032FF21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F79274E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5E5E6B3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3FD05B89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2756149C" w14:textId="65B27CD2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</w:tc>
      </w:tr>
      <w:tr w:rsidR="0028365A" w:rsidRPr="00023F3C" w14:paraId="5D4A5778" w14:textId="77777777" w:rsidTr="00767CA7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351BEE31" w14:textId="37491E2B" w:rsidR="0028365A" w:rsidRPr="00023F3C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0B8DA04D" w14:textId="5A017589" w:rsidR="0028365A" w:rsidRPr="00023F3C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fatta la verifica di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ammissibilit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à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della spesa connessa al reclutamento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carico del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PNRR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parte dell'Amministrazione centrale titolare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dell'intervento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cui all'art. 8, comma 1, del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ecreto-legge 31 maggio 2021, n.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77,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di concerto con il Dipartimento della ragioneria generale dello Stato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-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Servizio centrale per il PNRR del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Ministero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dell'economia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delle finanze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34B5CE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0D38B75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53DEEDEE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2A5AB56E" w14:textId="6BA70472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4EEFB00" w14:textId="33123DDA" w:rsidR="0028365A" w:rsidRPr="006B005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5C6F9262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3F4F9B29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CAED20B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49BCC1AB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695E9682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0F201821" w14:textId="77485B30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</w:tc>
      </w:tr>
      <w:tr w:rsidR="0028365A" w:rsidRPr="00023F3C" w14:paraId="61421716" w14:textId="77777777" w:rsidTr="00767CA7">
        <w:trPr>
          <w:trHeight w:val="1092"/>
        </w:trPr>
        <w:tc>
          <w:tcPr>
            <w:tcW w:w="209" w:type="pct"/>
            <w:shd w:val="clear" w:color="auto" w:fill="auto"/>
            <w:vAlign w:val="center"/>
          </w:tcPr>
          <w:p w14:paraId="618AE4FF" w14:textId="08316240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880055F" w14:textId="40243B7B" w:rsidR="0028365A" w:rsidRPr="00023F3C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mministrazione, previa verifica di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ammissibilità della spesa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,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ha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individua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to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, in relazione ai progetti 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mpetenza, il fabbisogno di personale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esterno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necessario all'attuazione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degli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118FF">
              <w:rPr>
                <w:rFonts w:ascii="Garamond" w:eastAsia="Times New Roman" w:hAnsi="Garamond" w:cs="Times New Roman"/>
                <w:color w:val="000000"/>
                <w:lang w:eastAsia="it-IT"/>
              </w:rPr>
              <w:t>stessi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25AD538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01B298AB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3B978AFF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3FBC3F4B" w14:textId="52DD6753" w:rsidR="0028365A" w:rsidRPr="002741C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33D4E4E2" w14:textId="434F5F06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548E2349" w14:textId="77777777" w:rsidR="0028365A" w:rsidRPr="00010DB6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BEC8F25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095D7444" w14:textId="27851731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230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Linee guida ammissibilità</w:t>
            </w:r>
          </w:p>
        </w:tc>
      </w:tr>
      <w:tr w:rsidR="0028365A" w:rsidRPr="00023F3C" w14:paraId="3A7F5E53" w14:textId="77777777" w:rsidTr="00767CA7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59BDC330" w14:textId="58FD458B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FF5ECB1" w14:textId="4BB45C4D" w:rsidR="0028365A" w:rsidRPr="00023F3C" w:rsidRDefault="000D74F1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per il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reclutamento di personale esterno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prevede il ricorso all’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elenco istituito dal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Dipartimento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della funzione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pubblica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della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Presidenza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del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Consiglio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dei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ministri, attraverso il portale del reclutamento di cui all'art.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3,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comma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7, della legge 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>56/</w:t>
            </w:r>
            <w:r w:rsidR="0028365A"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>2019</w:t>
            </w:r>
            <w:r w:rsidR="0028365A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78861D7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4C26206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6DB6AB2B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3D18BF5" w14:textId="27505020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68F2E8E1" w14:textId="4F1EA32E" w:rsidR="0028365A" w:rsidRPr="00C04229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12FD2BF5" w14:textId="1FA59C20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2F63378A" w14:textId="77777777" w:rsidR="004638A7" w:rsidRDefault="004638A7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9DCE664" w14:textId="7BBBE5F4" w:rsidR="0028365A" w:rsidRPr="00023F3C" w:rsidRDefault="004638A7" w:rsidP="007728A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28365A" w:rsidRPr="00023F3C" w14:paraId="6496ADCD" w14:textId="77777777" w:rsidTr="00767CA7">
        <w:trPr>
          <w:trHeight w:val="1030"/>
        </w:trPr>
        <w:tc>
          <w:tcPr>
            <w:tcW w:w="209" w:type="pct"/>
            <w:shd w:val="clear" w:color="auto" w:fill="auto"/>
            <w:vAlign w:val="center"/>
          </w:tcPr>
          <w:p w14:paraId="2FB78D2D" w14:textId="5000E95B" w:rsidR="0028365A" w:rsidRPr="00023F3C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85FCE0C" w14:textId="38E2A7EC" w:rsidR="0028365A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I professionisti</w:t>
            </w: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da assumere come personale esterno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sono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:</w:t>
            </w:r>
          </w:p>
          <w:p w14:paraId="562498EF" w14:textId="604DF7DF" w:rsidR="0028365A" w:rsidRDefault="0028365A" w:rsidP="00F47C76">
            <w:pPr>
              <w:jc w:val="both"/>
              <w:rPr>
                <w:lang w:eastAsia="it-IT"/>
              </w:rPr>
            </w:pP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a)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 possesso dell'attestazione di </w:t>
            </w: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qualità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di qualificazione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professionale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dei servizi ai sensi dell'art. 7 della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legge 4/2013, rilasciata da un'associazione professionale inserita nell'elenco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Ministero dello sviluppo economico, o in possesso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certificazione in conformità alla norma tecnica UNI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ai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sensi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dell'art.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della medesima legge,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ed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esperti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per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il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conferimento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di incarichi di collaborazione con contratto di lavoro autonomo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cui all'art. 7, comma 6, del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D.lgs.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165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/2001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  <w:p w14:paraId="2FAFD5AF" w14:textId="241F3F79" w:rsidR="0028365A" w:rsidRPr="004874BD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b)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in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possesso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un'alta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specializzazione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per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81EFA">
              <w:rPr>
                <w:rFonts w:ascii="Garamond" w:eastAsia="Times New Roman" w:hAnsi="Garamond" w:cs="Times New Roman"/>
                <w:color w:val="000000"/>
                <w:lang w:eastAsia="it-IT"/>
              </w:rPr>
              <w:t>l'assunzione con contratto di lavoro a tempo determinato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07A5685B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6FA10D00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107C9DB5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7BAE107" w14:textId="072314F3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7578CD3" w14:textId="3998CB54" w:rsidR="0028365A" w:rsidRPr="004B05A3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2351B250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all’Art. 7 della Legge 4/2013 e all’Art. </w:t>
            </w:r>
            <w:r w:rsidRPr="00D7600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7, comma 6, del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D.lgs. 165/2001</w:t>
            </w:r>
          </w:p>
          <w:p w14:paraId="45DB484F" w14:textId="77777777" w:rsidR="00E86AAE" w:rsidRDefault="00E86AAE" w:rsidP="00E86AA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871C942" w14:textId="77777777" w:rsidR="00E86AAE" w:rsidRDefault="00E86AAE" w:rsidP="00E86AA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74C27F33" w14:textId="78CD1D55" w:rsidR="0028365A" w:rsidRPr="00023F3C" w:rsidRDefault="00E86AAE" w:rsidP="007728A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7728A0">
              <w:rPr>
                <w:rFonts w:ascii="Garamond" w:eastAsia="Times New Roman" w:hAnsi="Garamond" w:cs="Times New Roman"/>
                <w:color w:val="000000"/>
                <w:lang w:eastAsia="it-IT"/>
              </w:rPr>
              <w:t>Altra documentazione tecnica</w:t>
            </w:r>
          </w:p>
        </w:tc>
      </w:tr>
      <w:tr w:rsidR="0028365A" w:rsidRPr="00023F3C" w14:paraId="34E33C4C" w14:textId="77777777" w:rsidTr="00FB2CC9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6535CABF" w14:textId="693DA22D" w:rsidR="0028365A" w:rsidDel="00600D17" w:rsidRDefault="00A55B0B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BAFF0BB" w14:textId="32F93AD6" w:rsidR="0028365A" w:rsidRPr="00781EFA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conferimento degli incarichi ai professionisti di cui all’art. 1 comma 5 lett. a) avviene/è avvenuto nel rispetto dei requisiti per l’iscrizione nell’elenco riportati dall’art. 1 comma 7 della Legge 113/2021 e gli ulteriori requisiti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, le modalit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à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termini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per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la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presentazione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delle domande di iscrizione all'elenco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previsti dal decreto di cui all’art. 1 comma 7 della medesima legge?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07B30CA1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7AF83608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1F3DBDEE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EAC1207" w14:textId="77777777" w:rsidR="0028365A" w:rsidRPr="00AD0ADE" w:rsidDel="00600D1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4A3C63B8" w14:textId="77777777" w:rsidR="0028365A" w:rsidRPr="00364510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2618DF29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23360063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94A274F" w14:textId="77777777" w:rsidR="00A55B0B" w:rsidRDefault="00A55B0B" w:rsidP="00A55B0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74BB2339" w14:textId="77777777" w:rsidR="0028365A" w:rsidRDefault="00A55B0B" w:rsidP="00A55B0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Altra documentazione tecnica</w:t>
            </w:r>
          </w:p>
          <w:p w14:paraId="09CA6722" w14:textId="183DFA18" w:rsidR="00A164FD" w:rsidRPr="00023F3C" w:rsidRDefault="00A164FD" w:rsidP="00A55B0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Contratto/Lettera incaric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</w:p>
        </w:tc>
      </w:tr>
      <w:tr w:rsidR="0028365A" w:rsidRPr="00023F3C" w14:paraId="0794CBDB" w14:textId="77777777" w:rsidTr="00FB2CC9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32B13E19" w14:textId="26514804" w:rsidR="0028365A" w:rsidDel="00600D17" w:rsidRDefault="00A164FD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4A81DF2" w14:textId="2A9300C9" w:rsidR="0028365A" w:rsidRDefault="0028365A" w:rsidP="00AA68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L’Amministrazione ha invitato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almeno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quattro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professionisti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esperti,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comunque in numero tale da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assicurare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la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parità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genere,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tra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quelli iscritti nel relativo elenco e li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ha sottoposti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ad un colloquio</w:t>
            </w:r>
            <w:r w:rsidR="00AA68B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14787">
              <w:rPr>
                <w:rFonts w:ascii="Garamond" w:eastAsia="Times New Roman" w:hAnsi="Garamond" w:cs="Times New Roman"/>
                <w:color w:val="000000"/>
                <w:lang w:eastAsia="it-IT"/>
              </w:rPr>
              <w:t>selettivo per il conferimento degli incarichi di collaborazione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091B716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0129AF99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37422393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7F5B9192" w14:textId="77777777" w:rsidR="0028365A" w:rsidRPr="00AD0ADE" w:rsidDel="00600D1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6EC8B2B" w14:textId="77777777" w:rsidR="0028365A" w:rsidRPr="00364510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7934A0F4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730F9B7D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F4E38F4" w14:textId="77777777" w:rsidR="00A164FD" w:rsidRDefault="00A164FD" w:rsidP="00A164F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51568E8A" w14:textId="77777777" w:rsidR="0028365A" w:rsidRDefault="00A164FD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Altra documentazione tecnica</w:t>
            </w:r>
          </w:p>
          <w:p w14:paraId="6BA3D7A5" w14:textId="56099BCA" w:rsidR="00A164FD" w:rsidRPr="00023F3C" w:rsidRDefault="009F0086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Verbali commissione</w:t>
            </w:r>
          </w:p>
        </w:tc>
      </w:tr>
      <w:tr w:rsidR="000455AC" w:rsidRPr="00023F3C" w14:paraId="3B9AEF25" w14:textId="77777777" w:rsidTr="003E4771">
        <w:trPr>
          <w:trHeight w:val="573"/>
        </w:trPr>
        <w:tc>
          <w:tcPr>
            <w:tcW w:w="209" w:type="pct"/>
            <w:shd w:val="clear" w:color="auto" w:fill="92D050"/>
            <w:vAlign w:val="center"/>
          </w:tcPr>
          <w:p w14:paraId="051CA3CE" w14:textId="787FD435" w:rsidR="000455AC" w:rsidRDefault="000455AC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817AC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791" w:type="pct"/>
            <w:gridSpan w:val="7"/>
            <w:shd w:val="clear" w:color="auto" w:fill="92D050"/>
            <w:vAlign w:val="center"/>
          </w:tcPr>
          <w:p w14:paraId="45BB4034" w14:textId="248BBB18" w:rsidR="000455AC" w:rsidRDefault="000455AC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della procedura di selezione</w:t>
            </w:r>
          </w:p>
        </w:tc>
      </w:tr>
      <w:tr w:rsidR="0028365A" w:rsidRPr="00023F3C" w14:paraId="54C17108" w14:textId="77777777" w:rsidTr="000455AC">
        <w:trPr>
          <w:trHeight w:val="978"/>
        </w:trPr>
        <w:tc>
          <w:tcPr>
            <w:tcW w:w="209" w:type="pct"/>
            <w:shd w:val="clear" w:color="auto" w:fill="auto"/>
            <w:vAlign w:val="center"/>
          </w:tcPr>
          <w:p w14:paraId="3C301211" w14:textId="12F31496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1B31F078" w14:textId="511E4C8A" w:rsidR="0028365A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3410A">
              <w:rPr>
                <w:rFonts w:ascii="Garamond" w:eastAsia="Times New Roman" w:hAnsi="Garamond" w:cs="Times New Roman"/>
                <w:color w:val="000000"/>
                <w:lang w:eastAsia="it-IT"/>
              </w:rPr>
              <w:t>L'oggetto della prestazione conferita all’esterno corrisponde ad obiettivi e progetti specifici e determinati e risulta coerente con le esigenze di funzionalità dell'Amministrazione conferente?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65E2DA59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4ADF6F5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78BFECE4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75EFEA2D" w14:textId="77777777" w:rsidR="0028365A" w:rsidRPr="00AD0ADE" w:rsidDel="00600D1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0FF7AA39" w14:textId="77777777" w:rsidR="0028365A" w:rsidRPr="00364510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2B4A1983" w14:textId="4930709B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</w:tc>
      </w:tr>
      <w:tr w:rsidR="0028365A" w:rsidRPr="00023F3C" w14:paraId="40CE2D4E" w14:textId="77777777" w:rsidTr="005E45F3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6A2D136E" w14:textId="0E23ED91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</w:tcPr>
          <w:p w14:paraId="5E4F542D" w14:textId="7B654ECC" w:rsidR="0028365A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F631C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preventivamente accertata l'impossibilità oggettiva di utilizzare le risorse umane disponibili all’interno dell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’</w:t>
            </w:r>
            <w:r w:rsidRPr="006F631C">
              <w:rPr>
                <w:rFonts w:ascii="Garamond" w:eastAsia="Times New Roman" w:hAnsi="Garamond" w:cs="Times New Roman"/>
                <w:color w:val="000000"/>
                <w:lang w:eastAsia="it-IT"/>
              </w:rPr>
              <w:t>Amministrazione per far fronte alle attività oggetto dell’incarico, così come previsto all’art. 7 del D.lgs. 165/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20</w:t>
            </w:r>
            <w:r w:rsidRPr="006F631C">
              <w:rPr>
                <w:rFonts w:ascii="Garamond" w:eastAsia="Times New Roman" w:hAnsi="Garamond" w:cs="Times New Roman"/>
                <w:color w:val="000000"/>
                <w:lang w:eastAsia="it-IT"/>
              </w:rPr>
              <w:t>01?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245D2DC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25B2B0B8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533252DE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4CA1E830" w14:textId="77777777" w:rsidR="0028365A" w:rsidRPr="00AD0ADE" w:rsidDel="00600D1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A555599" w14:textId="77777777" w:rsidR="0028365A" w:rsidRPr="00364510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6AFB6CDB" w14:textId="08B40EF2" w:rsidR="0028365A" w:rsidRPr="00EB4769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476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EB4769">
              <w:rPr>
                <w:rFonts w:ascii="Garamond" w:eastAsia="Times New Roman" w:hAnsi="Garamond" w:cs="Times New Roman"/>
                <w:color w:val="000000"/>
                <w:lang w:eastAsia="it-IT"/>
              </w:rPr>
              <w:t>Interpello o ricognizione interna</w:t>
            </w:r>
          </w:p>
          <w:p w14:paraId="36C1B875" w14:textId="7918E668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476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EB4769">
              <w:rPr>
                <w:rFonts w:ascii="Garamond" w:eastAsia="Times New Roman" w:hAnsi="Garamond" w:cs="Times New Roman"/>
                <w:color w:val="000000"/>
                <w:lang w:eastAsia="it-IT"/>
              </w:rPr>
              <w:t>Esito risultanze istruttorie</w:t>
            </w:r>
          </w:p>
        </w:tc>
      </w:tr>
      <w:tr w:rsidR="0028365A" w:rsidRPr="00023F3C" w14:paraId="420BB6DB" w14:textId="77777777" w:rsidTr="000455AC">
        <w:trPr>
          <w:trHeight w:val="664"/>
        </w:trPr>
        <w:tc>
          <w:tcPr>
            <w:tcW w:w="209" w:type="pct"/>
            <w:shd w:val="clear" w:color="auto" w:fill="auto"/>
            <w:vAlign w:val="center"/>
          </w:tcPr>
          <w:p w14:paraId="41D816EC" w14:textId="135D965D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19F441DD" w14:textId="10D918DD" w:rsidR="0028365A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13FF6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preventivamente determinati la durata, l’oggetto, il compenso per l’incarico da conferire?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4A8F84DD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7EE8FA5B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4AD980B9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52C293A" w14:textId="77777777" w:rsidR="0028365A" w:rsidRPr="00AD0ADE" w:rsidDel="00600D1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5A365EC0" w14:textId="77777777" w:rsidR="0028365A" w:rsidRPr="00364510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70C9343B" w14:textId="77777777" w:rsidR="0028365A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Nota fabbisogno</w:t>
            </w:r>
          </w:p>
          <w:p w14:paraId="64056841" w14:textId="77777777" w:rsidR="000822B6" w:rsidRDefault="000822B6" w:rsidP="000822B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72DDCCEE" w14:textId="3E7D605A" w:rsidR="0028365A" w:rsidRDefault="000822B6" w:rsidP="000822B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</w:tc>
      </w:tr>
      <w:tr w:rsidR="0028365A" w:rsidRPr="00023F3C" w14:paraId="43AE7358" w14:textId="77777777" w:rsidTr="00FB2CC9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5AE7F532" w14:textId="360CDC06" w:rsidR="0028365A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0FB6727B" w14:textId="3CB780AC" w:rsidR="0028365A" w:rsidRPr="00B13FF6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26A2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procedure comparative pubbliche per il conferimento degli incarichi sono state rese pubbliche e svolte secondo gli ordinamenti dell’Amministrazione, nel rispetto della normativa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europea</w:t>
            </w:r>
            <w:r w:rsidRPr="00B26A2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nazionale di riferimento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6552A110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2DF9CE7C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6373458F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584068F9" w14:textId="77777777" w:rsidR="0028365A" w:rsidRPr="00AD0ADE" w:rsidDel="00600D1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3A07F31F" w14:textId="77777777" w:rsidR="0028365A" w:rsidRPr="00364510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4207275C" w14:textId="0A4AE265" w:rsidR="0028365A" w:rsidRPr="006D31DD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31D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6D31DD">
              <w:rPr>
                <w:rFonts w:ascii="Garamond" w:eastAsia="Times New Roman" w:hAnsi="Garamond" w:cs="Times New Roman"/>
                <w:color w:val="000000"/>
                <w:lang w:eastAsia="it-IT"/>
              </w:rPr>
              <w:t>Regolamento interno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/Disciplinare incarichi</w:t>
            </w:r>
          </w:p>
          <w:p w14:paraId="5E06BDDB" w14:textId="39220237" w:rsidR="0028365A" w:rsidRPr="00C4230D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31D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6D31DD"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comparativa pubblica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/Avviso</w:t>
            </w:r>
          </w:p>
        </w:tc>
      </w:tr>
      <w:tr w:rsidR="0028365A" w:rsidRPr="00023F3C" w14:paraId="2512C6C2" w14:textId="77777777" w:rsidTr="000455AC">
        <w:trPr>
          <w:trHeight w:val="605"/>
        </w:trPr>
        <w:tc>
          <w:tcPr>
            <w:tcW w:w="209" w:type="pct"/>
            <w:shd w:val="clear" w:color="auto" w:fill="auto"/>
            <w:vAlign w:val="center"/>
          </w:tcPr>
          <w:p w14:paraId="223896E6" w14:textId="7C690721" w:rsidR="0028365A" w:rsidDel="00600D17" w:rsidRDefault="0028365A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001AB47" w14:textId="7AEED2F7" w:rsidR="0028365A" w:rsidRDefault="0028365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21B6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nominato il Responsabile del Procedimento (RUP)?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0B14A5B4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322594E0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66CD2ED6" w14:textId="77777777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688AC34C" w14:textId="011C0395" w:rsidR="0028365A" w:rsidRPr="00AD0ADE" w:rsidDel="00600D17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2E73289B" w14:textId="77777777" w:rsidR="0028365A" w:rsidRPr="00364510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12E98EAA" w14:textId="67FE0529" w:rsidR="0028365A" w:rsidRPr="00023F3C" w:rsidRDefault="0028365A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21B6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nomina RUP</w:t>
            </w:r>
          </w:p>
        </w:tc>
      </w:tr>
      <w:tr w:rsidR="000822B6" w:rsidRPr="00023F3C" w14:paraId="58EF1813" w14:textId="77777777" w:rsidTr="000455AC">
        <w:trPr>
          <w:trHeight w:val="597"/>
        </w:trPr>
        <w:tc>
          <w:tcPr>
            <w:tcW w:w="209" w:type="pct"/>
            <w:shd w:val="clear" w:color="auto" w:fill="auto"/>
            <w:vAlign w:val="center"/>
          </w:tcPr>
          <w:p w14:paraId="0EB3ACF9" w14:textId="67BFD845" w:rsidR="000822B6" w:rsidRDefault="000822B6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1DFF8422" w14:textId="6B0C8DF4" w:rsidR="000822B6" w:rsidRPr="002121B6" w:rsidRDefault="000822B6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In caso di Avviso pubblico, è stato predisposto l’atto di approvazione del medesimo?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6E7CBE40" w14:textId="77777777" w:rsidR="000822B6" w:rsidRPr="00023F3C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429B9C67" w14:textId="77777777" w:rsidR="000822B6" w:rsidRPr="00023F3C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66CBFEB2" w14:textId="77777777" w:rsidR="000822B6" w:rsidRPr="00023F3C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3AF6E65B" w14:textId="77777777" w:rsidR="000822B6" w:rsidRPr="00AD0ADE" w:rsidDel="00600D17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2CEFF5EB" w14:textId="77777777" w:rsidR="000822B6" w:rsidRPr="00364510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45627B60" w14:textId="77777777" w:rsidR="000822B6" w:rsidRDefault="000822B6" w:rsidP="000822B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</w:p>
          <w:p w14:paraId="0CBA0F71" w14:textId="6E23E0B2" w:rsidR="000822B6" w:rsidRPr="002121B6" w:rsidRDefault="000822B6" w:rsidP="000822B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</w:tc>
      </w:tr>
      <w:tr w:rsidR="000822B6" w:rsidRPr="00023F3C" w14:paraId="4EDB7538" w14:textId="77777777" w:rsidTr="00FB2CC9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73E227C1" w14:textId="71701029" w:rsidR="000822B6" w:rsidRDefault="000822B6" w:rsidP="002836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2A06EA6" w14:textId="3FA43CD2" w:rsidR="00C429F5" w:rsidRPr="00C429F5" w:rsidRDefault="00C429F5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>L’avviso di selezione è stato pubblicato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c</w:t>
            </w:r>
            <w:r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>ontiene i seguenti elementi:</w:t>
            </w:r>
          </w:p>
          <w:p w14:paraId="4FC1B28A" w14:textId="5FDA934A" w:rsidR="00C429F5" w:rsidRPr="00C429F5" w:rsidRDefault="00C429F5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a) </w:t>
            </w:r>
            <w:r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>oggetto dell'incarico e descrizione fabbisogno?</w:t>
            </w:r>
          </w:p>
          <w:p w14:paraId="54EB48F9" w14:textId="09F0AC7E" w:rsidR="00C429F5" w:rsidRPr="00C429F5" w:rsidRDefault="00C429F5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b) </w:t>
            </w:r>
            <w:r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requisiti di partecipazione (es: titoli, conoscenze e competenze richieste)? </w:t>
            </w:r>
          </w:p>
          <w:p w14:paraId="615B676D" w14:textId="623A7A1B" w:rsidR="00C429F5" w:rsidRPr="00C429F5" w:rsidRDefault="00C429F5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c) </w:t>
            </w:r>
            <w:r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valutativa (criteri di comparazione e valutazione dei curriculum vitae e della eventuale prova scritta / prova orale ecc.)?</w:t>
            </w:r>
          </w:p>
          <w:p w14:paraId="0A9B9AD1" w14:textId="5B518A7B" w:rsidR="00C429F5" w:rsidRPr="00C429F5" w:rsidRDefault="00C429F5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d) </w:t>
            </w:r>
            <w:r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>durata incarico e trattamento economico previsto?</w:t>
            </w:r>
          </w:p>
          <w:p w14:paraId="0E8EEBB7" w14:textId="17A244CE" w:rsidR="00C429F5" w:rsidRPr="00C429F5" w:rsidRDefault="00C429F5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e)</w:t>
            </w:r>
            <w:r w:rsidR="00B0338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>contenuti della domanda di partecipazione, modalità e termini di presentazione delle candidature?</w:t>
            </w:r>
          </w:p>
          <w:p w14:paraId="05D390DD" w14:textId="77777777" w:rsidR="002144FE" w:rsidRDefault="002144FE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f) </w:t>
            </w:r>
            <w:r w:rsidR="00C429F5"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>il trattamento dei dati personali?</w:t>
            </w:r>
          </w:p>
          <w:p w14:paraId="461C166B" w14:textId="30CE7EE2" w:rsidR="000822B6" w:rsidRPr="002121B6" w:rsidRDefault="002144FE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g) </w:t>
            </w:r>
            <w:r w:rsidR="00C429F5" w:rsidRPr="00C429F5">
              <w:rPr>
                <w:rFonts w:ascii="Garamond" w:eastAsia="Times New Roman" w:hAnsi="Garamond" w:cs="Times New Roman"/>
                <w:color w:val="000000"/>
                <w:lang w:eastAsia="it-IT"/>
              </w:rPr>
              <w:t>il RUP?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3E94D1BA" w14:textId="7852FEA1" w:rsidR="002144FE" w:rsidRPr="00023F3C" w:rsidRDefault="002144FE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6E3E91A7" w14:textId="77777777" w:rsidR="000822B6" w:rsidRPr="00023F3C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71669FA3" w14:textId="77777777" w:rsidR="000822B6" w:rsidRPr="00023F3C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090726AE" w14:textId="77777777" w:rsidR="000822B6" w:rsidRPr="00AD0ADE" w:rsidDel="00600D17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2639B6D" w14:textId="77777777" w:rsidR="000822B6" w:rsidRPr="00364510" w:rsidRDefault="000822B6" w:rsidP="002836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114595F0" w14:textId="5261E003" w:rsidR="00F92812" w:rsidRPr="00F92812" w:rsidRDefault="00F92812" w:rsidP="00F9281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92812">
              <w:rPr>
                <w:rFonts w:ascii="Garamond" w:eastAsia="Times New Roman" w:hAnsi="Garamond" w:cs="Times New Roman"/>
                <w:color w:val="000000"/>
                <w:lang w:eastAsia="it-IT"/>
              </w:rPr>
              <w:t>•Avviso pubblico ed eventuali relativi allegati (domanda di partecipazione, modello cv, fabbisogno ecc.)</w:t>
            </w:r>
          </w:p>
          <w:p w14:paraId="724EA9F8" w14:textId="0FDBA37E" w:rsidR="000822B6" w:rsidRPr="002121B6" w:rsidRDefault="00F92812" w:rsidP="00F9281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92812">
              <w:rPr>
                <w:rFonts w:ascii="Garamond" w:eastAsia="Times New Roman" w:hAnsi="Garamond" w:cs="Times New Roman"/>
                <w:color w:val="000000"/>
                <w:lang w:eastAsia="it-IT"/>
              </w:rPr>
              <w:t>•Pubblicazioni</w:t>
            </w:r>
          </w:p>
        </w:tc>
      </w:tr>
      <w:tr w:rsidR="00B03381" w:rsidRPr="00023F3C" w14:paraId="1EEAF286" w14:textId="77777777" w:rsidTr="008539A6">
        <w:trPr>
          <w:trHeight w:val="1028"/>
        </w:trPr>
        <w:tc>
          <w:tcPr>
            <w:tcW w:w="209" w:type="pct"/>
            <w:shd w:val="clear" w:color="auto" w:fill="auto"/>
            <w:vAlign w:val="center"/>
          </w:tcPr>
          <w:p w14:paraId="2E21D352" w14:textId="48A30AC3" w:rsidR="00B03381" w:rsidDel="00600D17" w:rsidRDefault="00B03381" w:rsidP="00B0338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19985328" w14:textId="77777777" w:rsidR="00B03381" w:rsidRDefault="00B03381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nominata la commissione di valutazione?</w:t>
            </w:r>
          </w:p>
          <w:p w14:paraId="62B4A9BC" w14:textId="03BAD1F8" w:rsidR="00FC4E77" w:rsidRDefault="00FC4E77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Tale nomina è avvenuta successivamente alla scadenza dei termini previsti per la presentazione delle candidature?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47E06CEF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07BFEC49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68D86FBA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52433026" w14:textId="47957855" w:rsidR="00B03381" w:rsidRPr="002121B6" w:rsidDel="00600D17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69B0C20" w14:textId="77777777" w:rsidR="00B03381" w:rsidRPr="00364510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352D1E2A" w14:textId="7A547E33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21B6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Atti di nomina della Commissione</w:t>
            </w:r>
          </w:p>
        </w:tc>
      </w:tr>
      <w:tr w:rsidR="00B03381" w:rsidRPr="00023F3C" w14:paraId="13AC25B2" w14:textId="77777777" w:rsidTr="000455AC">
        <w:trPr>
          <w:trHeight w:val="605"/>
        </w:trPr>
        <w:tc>
          <w:tcPr>
            <w:tcW w:w="209" w:type="pct"/>
            <w:shd w:val="clear" w:color="auto" w:fill="auto"/>
            <w:vAlign w:val="center"/>
          </w:tcPr>
          <w:p w14:paraId="2F2FBAAE" w14:textId="6B821DD3" w:rsidR="00B03381" w:rsidRPr="00023F3C" w:rsidRDefault="00483161" w:rsidP="00B0338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519619A" w14:textId="796229AA" w:rsidR="00B03381" w:rsidRPr="00023F3C" w:rsidRDefault="00B03381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verificata l’assenza di incompatibilità dei componenti della commissione?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49C23A38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3B40580D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2E7EBF2B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4F78A34C" w14:textId="448B3333" w:rsidR="00B03381" w:rsidRPr="00767CA7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621D69CF" w14:textId="408D4815" w:rsidR="00B03381" w:rsidRPr="004874BD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76B3F919" w14:textId="03CEF67E" w:rsidR="0084257A" w:rsidRPr="0084257A" w:rsidRDefault="0084257A" w:rsidP="0084257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4257A">
              <w:rPr>
                <w:rFonts w:ascii="Garamond" w:eastAsia="Times New Roman" w:hAnsi="Garamond" w:cs="Times New Roman"/>
                <w:color w:val="000000"/>
                <w:lang w:eastAsia="it-IT"/>
              </w:rPr>
              <w:t>•Atti di nomina della Commissione</w:t>
            </w:r>
          </w:p>
          <w:p w14:paraId="1D7103D1" w14:textId="35D2FD84" w:rsidR="00B03381" w:rsidRPr="00023F3C" w:rsidRDefault="0084257A" w:rsidP="0084257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4257A">
              <w:rPr>
                <w:rFonts w:ascii="Garamond" w:eastAsia="Times New Roman" w:hAnsi="Garamond" w:cs="Times New Roman"/>
                <w:color w:val="000000"/>
                <w:lang w:eastAsia="it-IT"/>
              </w:rPr>
              <w:t>•Dichiarazioni assenza di incompatibilità</w:t>
            </w:r>
          </w:p>
        </w:tc>
      </w:tr>
      <w:tr w:rsidR="00B03381" w:rsidRPr="00023F3C" w14:paraId="652192C3" w14:textId="77777777" w:rsidTr="000455AC">
        <w:trPr>
          <w:trHeight w:val="840"/>
        </w:trPr>
        <w:tc>
          <w:tcPr>
            <w:tcW w:w="209" w:type="pct"/>
            <w:shd w:val="clear" w:color="auto" w:fill="auto"/>
            <w:vAlign w:val="center"/>
          </w:tcPr>
          <w:p w14:paraId="20B3E1E8" w14:textId="6FD1B7B1" w:rsidR="00B03381" w:rsidRDefault="007B4B42" w:rsidP="00B0338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FEE4C70" w14:textId="490FC6D3" w:rsidR="00B03381" w:rsidRPr="00023F3C" w:rsidRDefault="00B03381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presenti i verbali dai quali si evincano le modalità di valutazione comparativa e/o altre modalità di selezione dei partecipanti?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63F71F48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1A77E8A5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0524D378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70D147AE" w14:textId="23ACE4EC" w:rsidR="00B03381" w:rsidRPr="00AD0ADE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27B7DB0B" w14:textId="2325387D" w:rsidR="00B03381" w:rsidRPr="004874BD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535B0026" w14:textId="10C654B9" w:rsidR="00B03381" w:rsidRPr="00023F3C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21B6">
              <w:rPr>
                <w:rFonts w:ascii="Garamond" w:eastAsia="Times New Roman" w:hAnsi="Garamond" w:cs="Times New Roman"/>
                <w:color w:val="000000"/>
                <w:lang w:eastAsia="it-IT"/>
              </w:rPr>
              <w:t>•Verbali Commissione</w:t>
            </w:r>
          </w:p>
        </w:tc>
      </w:tr>
      <w:tr w:rsidR="007B4B42" w:rsidRPr="00023F3C" w14:paraId="2250B6C1" w14:textId="77777777" w:rsidTr="00767CA7">
        <w:trPr>
          <w:trHeight w:val="1417"/>
        </w:trPr>
        <w:tc>
          <w:tcPr>
            <w:tcW w:w="209" w:type="pct"/>
            <w:shd w:val="clear" w:color="auto" w:fill="auto"/>
            <w:vAlign w:val="center"/>
          </w:tcPr>
          <w:p w14:paraId="1C705BA3" w14:textId="76235524" w:rsidR="007B4B42" w:rsidRDefault="00266008" w:rsidP="00B0338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07655B23" w14:textId="77777777" w:rsidR="007B4B42" w:rsidRDefault="00266008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rispettate le seguenti condizioni:</w:t>
            </w:r>
          </w:p>
          <w:p w14:paraId="5AA658D0" w14:textId="77777777" w:rsidR="00266008" w:rsidRDefault="00266008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a) i curricula vitae</w:t>
            </w:r>
            <w:r w:rsidR="00371D6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dei candidati, da cui risulta la competenza professionale richiesta, sono stati presentati nei modi e nei tempi previsti dall’Avviso?</w:t>
            </w:r>
          </w:p>
          <w:p w14:paraId="7F2B35E0" w14:textId="77777777" w:rsidR="00371D66" w:rsidRDefault="00371D66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b) la comparazione e l’attribuzione dei punteggi ai ca</w:t>
            </w:r>
            <w:r w:rsidR="00502E70">
              <w:rPr>
                <w:rFonts w:ascii="Garamond" w:eastAsia="Times New Roman" w:hAnsi="Garamond" w:cs="Times New Roman"/>
                <w:color w:val="000000"/>
                <w:lang w:eastAsia="it-IT"/>
              </w:rPr>
              <w:t>ndidati</w:t>
            </w:r>
            <w:r w:rsidR="0075740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son</w:t>
            </w:r>
            <w:r w:rsidR="00776387">
              <w:rPr>
                <w:rFonts w:ascii="Garamond" w:eastAsia="Times New Roman" w:hAnsi="Garamond" w:cs="Times New Roman"/>
                <w:color w:val="000000"/>
                <w:lang w:eastAsia="it-IT"/>
              </w:rPr>
              <w:t>o conformi a quanto previsto nell’Avviso?</w:t>
            </w:r>
          </w:p>
          <w:p w14:paraId="1D784965" w14:textId="18AF730D" w:rsidR="006059E0" w:rsidRPr="00767CA7" w:rsidRDefault="00776387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c) </w:t>
            </w:r>
            <w:r w:rsidR="006059E0">
              <w:rPr>
                <w:rFonts w:ascii="Garamond" w:eastAsia="Times New Roman" w:hAnsi="Garamond" w:cs="Times New Roman"/>
                <w:color w:val="000000"/>
                <w:lang w:eastAsia="it-IT"/>
              </w:rPr>
              <w:t>in caso di selezione per titoli e colloquio, i colloqui sono avvenuti in seduta pubblica</w:t>
            </w:r>
            <w:r w:rsidR="00775AC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ed è stata pubblicata la convocazione dei</w:t>
            </w:r>
            <w:r w:rsidR="000938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candidati idonei?</w:t>
            </w:r>
            <w:r w:rsidR="006059E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2AA45E9E" w14:textId="77777777" w:rsidR="007B4B42" w:rsidRPr="00023F3C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7ECE8C57" w14:textId="77777777" w:rsidR="007B4B42" w:rsidRPr="00023F3C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54EAE79B" w14:textId="77777777" w:rsidR="007B4B42" w:rsidRPr="00023F3C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52C404D7" w14:textId="77777777" w:rsidR="007B4B42" w:rsidRPr="00AD0ADE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44FA9CA6" w14:textId="77777777" w:rsidR="007B4B42" w:rsidRPr="004874BD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0B429F8A" w14:textId="321D1EEC" w:rsidR="003F3E71" w:rsidRPr="003F3E71" w:rsidRDefault="003F3E71" w:rsidP="003F3E7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F3E71">
              <w:rPr>
                <w:rFonts w:ascii="Garamond" w:eastAsia="Times New Roman" w:hAnsi="Garamond" w:cs="Times New Roman"/>
                <w:color w:val="000000"/>
                <w:lang w:eastAsia="it-IT"/>
              </w:rPr>
              <w:t>•Avviso pubblico</w:t>
            </w:r>
          </w:p>
          <w:p w14:paraId="15EF24E9" w14:textId="5F4B5C19" w:rsidR="003F3E71" w:rsidRPr="003F3E71" w:rsidRDefault="003F3E71" w:rsidP="003F3E7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F3E71">
              <w:rPr>
                <w:rFonts w:ascii="Garamond" w:eastAsia="Times New Roman" w:hAnsi="Garamond" w:cs="Times New Roman"/>
                <w:color w:val="000000"/>
                <w:lang w:eastAsia="it-IT"/>
              </w:rPr>
              <w:t>•Verbali Commissione</w:t>
            </w:r>
          </w:p>
          <w:p w14:paraId="34C306C0" w14:textId="77777777" w:rsidR="007B4B42" w:rsidRDefault="003F3E71" w:rsidP="003F3E7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F3E71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•Schede valutazione candidati</w:t>
            </w:r>
          </w:p>
          <w:p w14:paraId="196D30D8" w14:textId="77777777" w:rsidR="003F3E71" w:rsidRDefault="00DD7675" w:rsidP="003F3E7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D7675">
              <w:rPr>
                <w:rFonts w:ascii="Garamond" w:eastAsia="Times New Roman" w:hAnsi="Garamond" w:cs="Times New Roman"/>
                <w:color w:val="000000"/>
                <w:lang w:eastAsia="it-IT"/>
              </w:rPr>
              <w:t>•Convocazione colloqui</w:t>
            </w:r>
          </w:p>
          <w:p w14:paraId="12855BD8" w14:textId="0F38F2BE" w:rsidR="00603D28" w:rsidRPr="00603D28" w:rsidRDefault="00603D28" w:rsidP="00603D2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03D28">
              <w:rPr>
                <w:rFonts w:ascii="Garamond" w:eastAsia="Times New Roman" w:hAnsi="Garamond" w:cs="Times New Roman"/>
                <w:color w:val="000000"/>
                <w:lang w:eastAsia="it-IT"/>
              </w:rPr>
              <w:t>•Pubblicazione convocazione colloqui</w:t>
            </w:r>
          </w:p>
          <w:p w14:paraId="5D585F66" w14:textId="16C52E7B" w:rsidR="00603D28" w:rsidRPr="002121B6" w:rsidRDefault="00603D28" w:rsidP="00603D2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03D28">
              <w:rPr>
                <w:rFonts w:ascii="Garamond" w:eastAsia="Times New Roman" w:hAnsi="Garamond" w:cs="Times New Roman"/>
                <w:color w:val="000000"/>
                <w:lang w:eastAsia="it-IT"/>
              </w:rPr>
              <w:t>•Convocazione candidati ammessi a colloqui</w:t>
            </w:r>
          </w:p>
        </w:tc>
      </w:tr>
      <w:tr w:rsidR="007B4B42" w:rsidRPr="00023F3C" w14:paraId="1F4CF6F9" w14:textId="77777777" w:rsidTr="000455AC">
        <w:trPr>
          <w:trHeight w:val="775"/>
        </w:trPr>
        <w:tc>
          <w:tcPr>
            <w:tcW w:w="209" w:type="pct"/>
            <w:shd w:val="clear" w:color="auto" w:fill="auto"/>
            <w:vAlign w:val="center"/>
          </w:tcPr>
          <w:p w14:paraId="282B475E" w14:textId="56B26128" w:rsidR="007B4B42" w:rsidRDefault="00093894" w:rsidP="00B0338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1F5DAF4D" w14:textId="378C034E" w:rsidR="007B4B42" w:rsidRPr="00767CA7" w:rsidRDefault="0040085D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0085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approvata con atto</w:t>
            </w:r>
            <w:r w:rsidR="008C2B1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dell’Amministrazione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</w:t>
            </w:r>
            <w:r w:rsidRPr="0040085D">
              <w:rPr>
                <w:rFonts w:ascii="Garamond" w:eastAsia="Times New Roman" w:hAnsi="Garamond" w:cs="Times New Roman"/>
                <w:color w:val="000000"/>
                <w:lang w:eastAsia="it-IT"/>
              </w:rPr>
              <w:t>pubblicata la graduatoria definitiva?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681AE1C1" w14:textId="77777777" w:rsidR="007B4B42" w:rsidRPr="00023F3C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6A539F93" w14:textId="77777777" w:rsidR="007B4B42" w:rsidRPr="00023F3C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251DAAE9" w14:textId="77777777" w:rsidR="007B4B42" w:rsidRPr="00023F3C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7E3284AF" w14:textId="77777777" w:rsidR="007B4B42" w:rsidRPr="00AD0ADE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31917D2" w14:textId="77777777" w:rsidR="007B4B42" w:rsidRPr="004874BD" w:rsidRDefault="007B4B42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24B49874" w14:textId="36DC695C" w:rsidR="008D2A99" w:rsidRPr="008D2A99" w:rsidRDefault="008D2A99" w:rsidP="008D2A9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D2A99">
              <w:rPr>
                <w:rFonts w:ascii="Garamond" w:eastAsia="Times New Roman" w:hAnsi="Garamond" w:cs="Times New Roman"/>
                <w:color w:val="000000"/>
                <w:lang w:eastAsia="it-IT"/>
              </w:rPr>
              <w:t>•Graduatoria definitiva</w:t>
            </w:r>
          </w:p>
          <w:p w14:paraId="0F84B07D" w14:textId="77777777" w:rsidR="007B4B42" w:rsidRDefault="008D2A99" w:rsidP="008D2A9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D2A9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</w:t>
            </w:r>
            <w:r w:rsidRPr="008D2A9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approvazione della graduatoria definitiva</w:t>
            </w:r>
          </w:p>
          <w:p w14:paraId="24B3C302" w14:textId="6E25EE78" w:rsidR="008D2A99" w:rsidRPr="002121B6" w:rsidRDefault="008D2A99" w:rsidP="008D2A9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D2A9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Pubblicazioni</w:t>
            </w:r>
          </w:p>
        </w:tc>
      </w:tr>
      <w:tr w:rsidR="00B03381" w:rsidRPr="00023F3C" w14:paraId="019E3010" w14:textId="77777777" w:rsidTr="000455AC">
        <w:trPr>
          <w:trHeight w:val="985"/>
        </w:trPr>
        <w:tc>
          <w:tcPr>
            <w:tcW w:w="209" w:type="pct"/>
            <w:shd w:val="clear" w:color="auto" w:fill="auto"/>
            <w:vAlign w:val="center"/>
          </w:tcPr>
          <w:p w14:paraId="48B11EAE" w14:textId="5FF6062E" w:rsidR="00B03381" w:rsidRPr="00FB1A75" w:rsidRDefault="00FB1A75" w:rsidP="00B0338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1A75">
              <w:rPr>
                <w:rFonts w:ascii="Garamond" w:eastAsia="Times New Roman" w:hAnsi="Garamond" w:cs="Times New Roman"/>
                <w:color w:val="000000"/>
                <w:lang w:eastAsia="it-IT"/>
              </w:rPr>
              <w:t>13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DF2C38A" w14:textId="49E7B748" w:rsidR="00B03381" w:rsidRPr="00FB1A75" w:rsidRDefault="00B03381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1A7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documentazione connessa alla selezione è stata pubblicata sul portale del reclutamento secondo lo schema predisposto dal Dipartimento della funzione pubblica? 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75446629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5C103BB6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75CFA907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3A9471AC" w14:textId="278F937E" w:rsidR="00B03381" w:rsidRPr="00C27BEA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6BD99E56" w14:textId="45C382C2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0A97720F" w14:textId="3F51F226" w:rsidR="00FB1A75" w:rsidRDefault="00FB1A75" w:rsidP="00FB1A7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Per l’effettuazione della specifica verifica si rimanda all’Art .1, comma 17-</w:t>
            </w:r>
            <w:r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bis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169C34B1" w14:textId="77777777" w:rsidR="00B03381" w:rsidRPr="00023F3C" w:rsidRDefault="00B03381" w:rsidP="00B033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AA282B" w:rsidRPr="00023F3C" w14:paraId="46026449" w14:textId="77777777" w:rsidTr="003E4771">
        <w:trPr>
          <w:trHeight w:val="439"/>
        </w:trPr>
        <w:tc>
          <w:tcPr>
            <w:tcW w:w="209" w:type="pct"/>
            <w:shd w:val="clear" w:color="auto" w:fill="92D050"/>
            <w:vAlign w:val="center"/>
          </w:tcPr>
          <w:p w14:paraId="72C2A912" w14:textId="7EE497B1" w:rsidR="00AA282B" w:rsidRDefault="00AA282B" w:rsidP="004B22E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</w:p>
        </w:tc>
        <w:tc>
          <w:tcPr>
            <w:tcW w:w="4791" w:type="pct"/>
            <w:gridSpan w:val="7"/>
            <w:shd w:val="clear" w:color="auto" w:fill="92D050"/>
            <w:vAlign w:val="center"/>
          </w:tcPr>
          <w:p w14:paraId="17B641AE" w14:textId="203B1AD8" w:rsidR="00AA282B" w:rsidRPr="00023F3C" w:rsidRDefault="00AA282B" w:rsidP="004B22E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 contratto</w:t>
            </w:r>
          </w:p>
        </w:tc>
      </w:tr>
      <w:tr w:rsidR="004B22E8" w:rsidRPr="00023F3C" w14:paraId="3DD9829E" w14:textId="77777777" w:rsidTr="008539A6">
        <w:trPr>
          <w:trHeight w:val="1126"/>
        </w:trPr>
        <w:tc>
          <w:tcPr>
            <w:tcW w:w="209" w:type="pct"/>
            <w:shd w:val="clear" w:color="auto" w:fill="auto"/>
            <w:vAlign w:val="center"/>
          </w:tcPr>
          <w:p w14:paraId="3244B51C" w14:textId="083C6DBF" w:rsidR="004B22E8" w:rsidRDefault="00307771" w:rsidP="004B22E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10E4B5DC" w14:textId="4A8F4457" w:rsidR="004B22E8" w:rsidRPr="00914787" w:rsidRDefault="00B67472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67472">
              <w:rPr>
                <w:rFonts w:ascii="Garamond" w:eastAsia="Times New Roman" w:hAnsi="Garamond" w:cs="Times New Roman"/>
                <w:color w:val="000000"/>
                <w:lang w:eastAsia="it-IT"/>
              </w:rPr>
              <w:t>L’incarico è stato conferito in forma scritta mediante contratto/lettera di incarico della prestazione, con indicazione della tipologia di prestazione, della durata, dell’oggetto, del compenso, per il quale è effettuata?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312185B9" w14:textId="77777777" w:rsidR="004B22E8" w:rsidRPr="00023F3C" w:rsidRDefault="004B22E8" w:rsidP="004B22E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6E13EB03" w14:textId="77777777" w:rsidR="004B22E8" w:rsidRPr="00023F3C" w:rsidRDefault="004B22E8" w:rsidP="004B22E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0D2BC602" w14:textId="77777777" w:rsidR="004B22E8" w:rsidRPr="00023F3C" w:rsidRDefault="004B22E8" w:rsidP="004B22E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6357EE33" w14:textId="77777777" w:rsidR="004B22E8" w:rsidRPr="00AD0ADE" w:rsidDel="00600D17" w:rsidRDefault="004B22E8" w:rsidP="004B22E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3F5A1290" w14:textId="77777777" w:rsidR="004B22E8" w:rsidRPr="00364510" w:rsidRDefault="004B22E8" w:rsidP="004B22E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7D86F7B3" w14:textId="36781793" w:rsidR="004B22E8" w:rsidRPr="00023F3C" w:rsidRDefault="009043EC" w:rsidP="009043E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043EC">
              <w:rPr>
                <w:rFonts w:ascii="Garamond" w:eastAsia="Times New Roman" w:hAnsi="Garamond" w:cs="Times New Roman"/>
                <w:color w:val="000000"/>
                <w:lang w:eastAsia="it-IT"/>
              </w:rPr>
              <w:t>•Contratto/ Lettera incarico</w:t>
            </w:r>
          </w:p>
        </w:tc>
      </w:tr>
      <w:tr w:rsidR="005C776C" w:rsidRPr="00023F3C" w14:paraId="0291BD7F" w14:textId="77777777" w:rsidTr="000455AC">
        <w:trPr>
          <w:trHeight w:val="1030"/>
        </w:trPr>
        <w:tc>
          <w:tcPr>
            <w:tcW w:w="209" w:type="pct"/>
            <w:shd w:val="clear" w:color="auto" w:fill="auto"/>
            <w:vAlign w:val="center"/>
          </w:tcPr>
          <w:p w14:paraId="11E9951C" w14:textId="1AF89B14" w:rsidR="005C776C" w:rsidDel="00600D17" w:rsidRDefault="005C776C" w:rsidP="005C776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90A18B5" w14:textId="1B8A129C" w:rsidR="005C776C" w:rsidRPr="00BE0C99" w:rsidRDefault="005C776C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6747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Nel contratto sono stati indicati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 riferimenti al PNRR, misura/riforma/investimento/sub-investimento</w:t>
            </w:r>
            <w:r w:rsidRPr="00B6747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valere dei quali è individuata la copertura finanziaria, il Codice unico di progetto (CUP)?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2362A0D0" w14:textId="77777777" w:rsidR="005C776C" w:rsidRPr="00023F3C" w:rsidRDefault="005C776C" w:rsidP="005C776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19C002DD" w14:textId="77777777" w:rsidR="005C776C" w:rsidRPr="00023F3C" w:rsidRDefault="005C776C" w:rsidP="005C776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763A8DB5" w14:textId="77777777" w:rsidR="005C776C" w:rsidRPr="00023F3C" w:rsidRDefault="005C776C" w:rsidP="005C776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3F5B4626" w14:textId="63CCE908" w:rsidR="005C776C" w:rsidRPr="00AD0ADE" w:rsidDel="00600D17" w:rsidRDefault="005C776C" w:rsidP="005C776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2B9F0123" w14:textId="66C0AE9D" w:rsidR="005C776C" w:rsidRPr="00364510" w:rsidRDefault="005C776C" w:rsidP="005C776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08F7B36D" w14:textId="77777777" w:rsidR="005C776C" w:rsidRPr="009043EC" w:rsidRDefault="005C776C" w:rsidP="005C776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043EC">
              <w:rPr>
                <w:rFonts w:ascii="Garamond" w:eastAsia="Times New Roman" w:hAnsi="Garamond" w:cs="Times New Roman"/>
                <w:color w:val="000000"/>
                <w:lang w:eastAsia="it-IT"/>
              </w:rPr>
              <w:t>•Contratto/ Lettera incarico</w:t>
            </w:r>
          </w:p>
          <w:p w14:paraId="0DFB73AF" w14:textId="21AB0FC7" w:rsidR="005C776C" w:rsidRPr="00023F3C" w:rsidRDefault="005C776C" w:rsidP="005C776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043EC">
              <w:rPr>
                <w:rFonts w:ascii="Garamond" w:eastAsia="Times New Roman" w:hAnsi="Garamond" w:cs="Times New Roman"/>
                <w:color w:val="000000"/>
                <w:lang w:eastAsia="it-IT"/>
              </w:rPr>
              <w:t>•Altro</w:t>
            </w:r>
          </w:p>
        </w:tc>
      </w:tr>
      <w:tr w:rsidR="00C376AA" w:rsidRPr="00023F3C" w14:paraId="678B4896" w14:textId="77777777" w:rsidTr="00FB65A6">
        <w:trPr>
          <w:trHeight w:val="321"/>
        </w:trPr>
        <w:tc>
          <w:tcPr>
            <w:tcW w:w="209" w:type="pct"/>
            <w:shd w:val="clear" w:color="auto" w:fill="auto"/>
            <w:vAlign w:val="center"/>
          </w:tcPr>
          <w:p w14:paraId="5D8B0A58" w14:textId="3EB90A13" w:rsidR="00C376AA" w:rsidDel="00600D17" w:rsidRDefault="00C376AA" w:rsidP="00C376A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A18A969" w14:textId="7C15EE11" w:rsidR="00C376AA" w:rsidRPr="00BE0C99" w:rsidRDefault="00C376AA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previsto che i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contratti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collaborazione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siano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stipulati per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un periodo complessivo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anche 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>superiore a trentasei mesi, ma non eccedent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la durata di attuazione dei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>progetti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>competenza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dell’Amministrazione titolare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comunque non eccedente il 31 dicembre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>2026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 w:rsidRPr="001D5A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F27FA02" w14:textId="77777777" w:rsidR="00C376AA" w:rsidRPr="00023F3C" w:rsidRDefault="00C376AA" w:rsidP="00C376A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1BAF08E7" w14:textId="77777777" w:rsidR="00C376AA" w:rsidRPr="00023F3C" w:rsidRDefault="00C376AA" w:rsidP="00C376A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24F54828" w14:textId="77777777" w:rsidR="00C376AA" w:rsidRPr="00023F3C" w:rsidRDefault="00C376AA" w:rsidP="00C376A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70DDEFE2" w14:textId="017D6D4A" w:rsidR="00C376AA" w:rsidRPr="00AD0ADE" w:rsidDel="00600D17" w:rsidRDefault="00C376AA" w:rsidP="00C376A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0D48AAA4" w14:textId="43251AAE" w:rsidR="00C376AA" w:rsidRPr="00364510" w:rsidRDefault="00C376AA" w:rsidP="00C376A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51126D36" w14:textId="77777777" w:rsidR="00B04EF8" w:rsidRDefault="00B04EF8" w:rsidP="00B04EF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all’Art .1 DL 80/2021 convertito in </w:t>
            </w:r>
            <w:r w:rsidRPr="00A37F5E">
              <w:rPr>
                <w:rFonts w:ascii="Garamond" w:eastAsia="Times New Roman" w:hAnsi="Garamond" w:cs="Times New Roman"/>
                <w:color w:val="000000"/>
                <w:lang w:eastAsia="it-IT"/>
              </w:rPr>
              <w:t>Legge 113/2021</w:t>
            </w:r>
          </w:p>
          <w:p w14:paraId="0DA6BFA2" w14:textId="77777777" w:rsidR="00B04EF8" w:rsidRDefault="00B04EF8" w:rsidP="00C376A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7C6FAAB" w14:textId="0109AFE3" w:rsidR="00C376AA" w:rsidRPr="00023F3C" w:rsidRDefault="00B04EF8" w:rsidP="00C376A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 / Lettera incarico</w:t>
            </w:r>
          </w:p>
        </w:tc>
      </w:tr>
      <w:tr w:rsidR="00FB65A6" w:rsidRPr="00023F3C" w14:paraId="3FEE85F7" w14:textId="77777777" w:rsidTr="00767CA7">
        <w:trPr>
          <w:trHeight w:val="746"/>
        </w:trPr>
        <w:tc>
          <w:tcPr>
            <w:tcW w:w="209" w:type="pct"/>
            <w:shd w:val="clear" w:color="auto" w:fill="auto"/>
            <w:vAlign w:val="center"/>
          </w:tcPr>
          <w:p w14:paraId="50FA0952" w14:textId="3750A131" w:rsidR="00FB65A6" w:rsidDel="00600D17" w:rsidRDefault="00FB65A6" w:rsidP="00FB65A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4504065" w14:textId="77777777" w:rsidR="00FB65A6" w:rsidRDefault="00FB65A6" w:rsidP="00F47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theme="minorHAnsi"/>
              </w:rPr>
            </w:pPr>
            <w:r w:rsidRPr="00767CA7">
              <w:rPr>
                <w:rFonts w:ascii="Garamond" w:hAnsi="Garamond" w:cstheme="minorHAnsi"/>
              </w:rPr>
              <w:t>Sono stati pubblicati e periodicamente aggiornati, ai sensi dell’art. 15 c</w:t>
            </w:r>
            <w:r>
              <w:rPr>
                <w:rFonts w:ascii="Garamond" w:hAnsi="Garamond" w:cstheme="minorHAnsi"/>
              </w:rPr>
              <w:t>omma</w:t>
            </w:r>
            <w:r w:rsidRPr="00767CA7">
              <w:rPr>
                <w:rFonts w:ascii="Garamond" w:hAnsi="Garamond" w:cstheme="minorHAnsi"/>
              </w:rPr>
              <w:t xml:space="preserve"> 1 del D. Lgs. 33/2013 e </w:t>
            </w:r>
            <w:proofErr w:type="spellStart"/>
            <w:proofErr w:type="gramStart"/>
            <w:r w:rsidRPr="00767CA7">
              <w:rPr>
                <w:rFonts w:ascii="Garamond" w:hAnsi="Garamond" w:cstheme="minorHAnsi"/>
              </w:rPr>
              <w:t>ss.mm.ii</w:t>
            </w:r>
            <w:proofErr w:type="spellEnd"/>
            <w:proofErr w:type="gramEnd"/>
            <w:r w:rsidRPr="00767CA7">
              <w:rPr>
                <w:rFonts w:ascii="Garamond" w:hAnsi="Garamond" w:cstheme="minorHAnsi"/>
              </w:rPr>
              <w:t>, nel sito istituzionale dell’Amministrazione stipulante le seguenti informazioni relative ai titolari di incarichi:</w:t>
            </w:r>
          </w:p>
          <w:p w14:paraId="718A14E4" w14:textId="77777777" w:rsidR="00FB65A6" w:rsidRDefault="00FB65A6" w:rsidP="00F47C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a) </w:t>
            </w:r>
            <w:r w:rsidRPr="00767CA7">
              <w:rPr>
                <w:rFonts w:ascii="Garamond" w:hAnsi="Garamond" w:cstheme="minorHAnsi"/>
              </w:rPr>
              <w:t>gli estremi dell'atto di conferimento dell'incarico</w:t>
            </w:r>
            <w:r w:rsidRPr="00767CA7">
              <w:rPr>
                <w:rFonts w:ascii="Garamond" w:hAnsi="Garamond" w:cs="Tahoma"/>
                <w:shd w:val="clear" w:color="auto" w:fill="F1FDFE"/>
              </w:rPr>
              <w:t xml:space="preserve"> </w:t>
            </w:r>
            <w:r w:rsidRPr="00767CA7">
              <w:rPr>
                <w:rFonts w:ascii="Garamond" w:hAnsi="Garamond" w:cstheme="minorHAnsi"/>
              </w:rPr>
              <w:t>completi di indicazione dei soggetti percettori, della ragione dell'incarico e dell'ammontare erogato?</w:t>
            </w:r>
          </w:p>
          <w:p w14:paraId="6B31F1F3" w14:textId="77777777" w:rsidR="00FB65A6" w:rsidRDefault="00FB65A6" w:rsidP="00F47C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b) </w:t>
            </w:r>
            <w:r w:rsidRPr="00FB65A6">
              <w:rPr>
                <w:rFonts w:ascii="Garamond" w:hAnsi="Garamond" w:cstheme="minorHAnsi"/>
              </w:rPr>
              <w:t xml:space="preserve">il curriculum vitae? </w:t>
            </w:r>
          </w:p>
          <w:p w14:paraId="11D6118C" w14:textId="77777777" w:rsidR="00FB65A6" w:rsidRDefault="00FB65A6" w:rsidP="00F47C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c) </w:t>
            </w:r>
            <w:r w:rsidRPr="00767CA7">
              <w:rPr>
                <w:rFonts w:ascii="Garamond" w:hAnsi="Garamond" w:cstheme="minorHAnsi"/>
              </w:rPr>
              <w:t>i compensi relativi al rapporto di consulenza o di collaborazione, con specifica evidenza delle eventuali componenti variabili o legate alla valutazione del risultato?</w:t>
            </w:r>
          </w:p>
          <w:p w14:paraId="23446F60" w14:textId="26809E20" w:rsidR="00FB65A6" w:rsidRPr="00767CA7" w:rsidRDefault="00FB65A6" w:rsidP="00F47C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hAnsi="Garamond" w:cstheme="minorHAnsi"/>
              </w:rPr>
              <w:t>d) la d</w:t>
            </w:r>
            <w:r w:rsidRPr="00767CA7">
              <w:rPr>
                <w:rFonts w:ascii="Garamond" w:hAnsi="Garamond" w:cstheme="minorHAnsi"/>
              </w:rPr>
              <w:t xml:space="preserve">ichiarazione di insussistenza di cause di </w:t>
            </w:r>
            <w:proofErr w:type="spellStart"/>
            <w:r w:rsidRPr="00767CA7">
              <w:rPr>
                <w:rFonts w:ascii="Garamond" w:hAnsi="Garamond" w:cstheme="minorHAnsi"/>
              </w:rPr>
              <w:t>inconferibilità</w:t>
            </w:r>
            <w:proofErr w:type="spellEnd"/>
            <w:r w:rsidRPr="00767CA7">
              <w:rPr>
                <w:rFonts w:ascii="Garamond" w:hAnsi="Garamond" w:cstheme="minorHAnsi"/>
              </w:rPr>
              <w:t xml:space="preserve"> e incompatibilità all’assunzione dell’incarico?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13716E86" w14:textId="77777777" w:rsidR="00FB65A6" w:rsidRPr="00023F3C" w:rsidRDefault="00FB65A6" w:rsidP="00FB65A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01A9CA73" w14:textId="77777777" w:rsidR="00FB65A6" w:rsidRPr="00023F3C" w:rsidRDefault="00FB65A6" w:rsidP="00FB65A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69C840FE" w14:textId="77777777" w:rsidR="00FB65A6" w:rsidRPr="00023F3C" w:rsidRDefault="00FB65A6" w:rsidP="00FB65A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4272385A" w14:textId="7DE8FB15" w:rsidR="00FB65A6" w:rsidRPr="00EF56A2" w:rsidRDefault="00FB65A6" w:rsidP="00FB65A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32E89F1A" w14:textId="77777777" w:rsidR="00FB65A6" w:rsidRPr="00364510" w:rsidRDefault="00FB65A6" w:rsidP="00FB65A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212C6A16" w14:textId="00E600F6" w:rsidR="00FB65A6" w:rsidRPr="00023F3C" w:rsidRDefault="00FB65A6" w:rsidP="00FB65A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Sito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web Amministrazione conferente Sezione amministrazione trasparente</w:t>
            </w:r>
          </w:p>
        </w:tc>
      </w:tr>
      <w:tr w:rsidR="00DC1275" w:rsidRPr="00023F3C" w14:paraId="4766AD5E" w14:textId="77777777" w:rsidTr="000455AC">
        <w:trPr>
          <w:trHeight w:val="179"/>
        </w:trPr>
        <w:tc>
          <w:tcPr>
            <w:tcW w:w="209" w:type="pct"/>
            <w:shd w:val="clear" w:color="auto" w:fill="auto"/>
            <w:vAlign w:val="center"/>
          </w:tcPr>
          <w:p w14:paraId="0DB6789B" w14:textId="709721EA" w:rsidR="00DC1275" w:rsidDel="00600D17" w:rsidRDefault="00DC1275" w:rsidP="00DC127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C3D7D52" w14:textId="4915C817" w:rsidR="00DC1275" w:rsidRPr="00EF56A2" w:rsidRDefault="00DC1275" w:rsidP="00F47C76">
            <w:pPr>
              <w:spacing w:after="0" w:line="240" w:lineRule="auto"/>
              <w:jc w:val="both"/>
              <w:rPr>
                <w:rFonts w:ascii="Garamond" w:hAnsi="Garamond" w:cstheme="minorHAnsi"/>
              </w:rPr>
            </w:pP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Laddove siano stati modificati i termini contrattuali (eventuali sospensioni, proroghe, ecc.), tali modifiche sono avvenute nel rispetto della normativa vigente e tale possibilità era contemplata nell’avviso pubblico e nel contratto?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4DFD704E" w14:textId="77777777" w:rsidR="00DC1275" w:rsidRPr="00023F3C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0ECA3F0C" w14:textId="77777777" w:rsidR="00DC1275" w:rsidRPr="00023F3C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7FE1799C" w14:textId="77777777" w:rsidR="00DC1275" w:rsidRPr="00023F3C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0803561A" w14:textId="61E7DA4F" w:rsidR="00DC1275" w:rsidRPr="00EF56A2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030AE3D0" w14:textId="77777777" w:rsidR="00DC1275" w:rsidRPr="00364510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6A0156ED" w14:textId="17872173" w:rsidR="00DC1275" w:rsidRPr="00DC1275" w:rsidRDefault="00DC1275" w:rsidP="00DC1275">
            <w:pPr>
              <w:spacing w:after="0" w:line="240" w:lineRule="auto"/>
              <w:rPr>
                <w:rFonts w:ascii="Garamond" w:hAnsi="Garamond" w:cstheme="minorHAnsi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DC1275">
              <w:rPr>
                <w:rFonts w:ascii="Garamond" w:hAnsi="Garamond" w:cstheme="minorHAnsi"/>
              </w:rPr>
              <w:t>Avviso pubblico</w:t>
            </w:r>
          </w:p>
          <w:p w14:paraId="5070ABAC" w14:textId="74D94167" w:rsidR="00DC1275" w:rsidRPr="00DC1275" w:rsidRDefault="00DC1275" w:rsidP="00DC1275">
            <w:pPr>
              <w:spacing w:after="0" w:line="240" w:lineRule="auto"/>
              <w:rPr>
                <w:rFonts w:ascii="Garamond" w:hAnsi="Garamond" w:cstheme="minorHAnsi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DC1275">
              <w:rPr>
                <w:rFonts w:ascii="Garamond" w:hAnsi="Garamond" w:cstheme="minorHAnsi"/>
              </w:rPr>
              <w:t>Contratto</w:t>
            </w:r>
            <w:r>
              <w:rPr>
                <w:rFonts w:ascii="Garamond" w:hAnsi="Garamond" w:cstheme="minorHAnsi"/>
              </w:rPr>
              <w:t>/Lettera incarico</w:t>
            </w:r>
          </w:p>
          <w:p w14:paraId="0D76BCB4" w14:textId="7CE926EC" w:rsidR="00DC1275" w:rsidRPr="00DC1275" w:rsidRDefault="00DC1275" w:rsidP="00DC1275">
            <w:pPr>
              <w:spacing w:after="0" w:line="240" w:lineRule="auto"/>
              <w:rPr>
                <w:rFonts w:ascii="Garamond" w:hAnsi="Garamond" w:cstheme="minorHAnsi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DC1275">
              <w:rPr>
                <w:rFonts w:ascii="Garamond" w:hAnsi="Garamond" w:cstheme="minorHAnsi"/>
              </w:rPr>
              <w:t>Proroga contratto</w:t>
            </w:r>
          </w:p>
          <w:p w14:paraId="1F32095A" w14:textId="55180703" w:rsidR="00DC1275" w:rsidRPr="00DC1275" w:rsidRDefault="00DC1275" w:rsidP="00DC1275">
            <w:pPr>
              <w:spacing w:after="0" w:line="240" w:lineRule="auto"/>
              <w:rPr>
                <w:rFonts w:ascii="Garamond" w:hAnsi="Garamond" w:cstheme="minorHAnsi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DC1275">
              <w:rPr>
                <w:rFonts w:ascii="Garamond" w:hAnsi="Garamond" w:cstheme="minorHAnsi"/>
              </w:rPr>
              <w:t>Sospensione contratto</w:t>
            </w:r>
          </w:p>
          <w:p w14:paraId="53D25729" w14:textId="30AE5C1B" w:rsidR="00DC1275" w:rsidRPr="00023F3C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67CA7">
              <w:rPr>
                <w:rFonts w:ascii="Garamond" w:hAnsi="Garamond" w:cstheme="minorHAnsi"/>
              </w:rPr>
              <w:t>Altro</w:t>
            </w:r>
          </w:p>
        </w:tc>
      </w:tr>
      <w:tr w:rsidR="00DC1275" w:rsidRPr="00023F3C" w14:paraId="2C371DA1" w14:textId="77777777" w:rsidTr="00DC1275">
        <w:trPr>
          <w:trHeight w:val="746"/>
        </w:trPr>
        <w:tc>
          <w:tcPr>
            <w:tcW w:w="209" w:type="pct"/>
            <w:shd w:val="clear" w:color="auto" w:fill="auto"/>
            <w:vAlign w:val="center"/>
          </w:tcPr>
          <w:p w14:paraId="64C1EBBF" w14:textId="4BE1DE37" w:rsidR="00DC1275" w:rsidDel="00600D17" w:rsidRDefault="00DC1275" w:rsidP="00DC127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E7DF1D9" w14:textId="157255CC" w:rsidR="00DC1275" w:rsidRPr="00EF56A2" w:rsidRDefault="00DC1275" w:rsidP="00F47C7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stato verificato che l'eventuale proroga dell'incarico originario sia stata concessa, in via eccezionale, al solo fine di completare il progetto e per ritardi non imputabili al collaboratore, ferma restando la misura del compenso pattuito in sede di affidamento dell'incarico ed è stato altresì appurato che non si tratti di rinnovo, non ammissibile?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40B40E83" w14:textId="77777777" w:rsidR="00DC1275" w:rsidRPr="00023F3C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569D9B05" w14:textId="77777777" w:rsidR="00DC1275" w:rsidRPr="00023F3C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7750EA13" w14:textId="77777777" w:rsidR="00DC1275" w:rsidRPr="00023F3C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7630E43E" w14:textId="5190E683" w:rsidR="00DC1275" w:rsidRPr="00DC1275" w:rsidRDefault="00DC1275" w:rsidP="00DC1275">
            <w:pPr>
              <w:spacing w:after="0" w:line="240" w:lineRule="auto"/>
              <w:rPr>
                <w:rFonts w:ascii="Garamond" w:hAnsi="Garamond" w:cstheme="minorHAnsi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4CB11CC7" w14:textId="77777777" w:rsidR="00DC1275" w:rsidRPr="00364510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1ADB5E40" w14:textId="77777777" w:rsidR="00DC1275" w:rsidRPr="00DC1275" w:rsidRDefault="00DC1275" w:rsidP="00DC1275">
            <w:pPr>
              <w:spacing w:after="0" w:line="240" w:lineRule="auto"/>
              <w:rPr>
                <w:rFonts w:ascii="Garamond" w:hAnsi="Garamond" w:cstheme="minorHAnsi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DC1275">
              <w:rPr>
                <w:rFonts w:ascii="Garamond" w:hAnsi="Garamond" w:cstheme="minorHAnsi"/>
              </w:rPr>
              <w:t>Avviso pubblico</w:t>
            </w:r>
          </w:p>
          <w:p w14:paraId="6CBB796A" w14:textId="77777777" w:rsidR="00DC1275" w:rsidRPr="00DC1275" w:rsidRDefault="00DC1275" w:rsidP="00DC1275">
            <w:pPr>
              <w:spacing w:after="0" w:line="240" w:lineRule="auto"/>
              <w:rPr>
                <w:rFonts w:ascii="Garamond" w:hAnsi="Garamond" w:cstheme="minorHAnsi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DC1275">
              <w:rPr>
                <w:rFonts w:ascii="Garamond" w:hAnsi="Garamond" w:cstheme="minorHAnsi"/>
              </w:rPr>
              <w:t>Contratto</w:t>
            </w:r>
            <w:r>
              <w:rPr>
                <w:rFonts w:ascii="Garamond" w:hAnsi="Garamond" w:cstheme="minorHAnsi"/>
              </w:rPr>
              <w:t>/Lettera incarico</w:t>
            </w:r>
          </w:p>
          <w:p w14:paraId="4BE75C61" w14:textId="24935627" w:rsidR="00DC1275" w:rsidRPr="00DC1275" w:rsidRDefault="00DC1275" w:rsidP="00DC1275">
            <w:pPr>
              <w:spacing w:after="0" w:line="240" w:lineRule="auto"/>
              <w:rPr>
                <w:rFonts w:ascii="Garamond" w:hAnsi="Garamond" w:cstheme="minorHAnsi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DC1275">
              <w:rPr>
                <w:rFonts w:ascii="Garamond" w:hAnsi="Garamond" w:cstheme="minorHAnsi"/>
              </w:rPr>
              <w:t>Proroga contratto</w:t>
            </w:r>
          </w:p>
          <w:p w14:paraId="41A9DAAE" w14:textId="05CFD693" w:rsidR="00DC1275" w:rsidRPr="00023F3C" w:rsidRDefault="00DC1275" w:rsidP="00DC127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67CA7">
              <w:rPr>
                <w:rFonts w:ascii="Garamond" w:hAnsi="Garamond" w:cstheme="minorHAnsi"/>
              </w:rPr>
              <w:t>Altro</w:t>
            </w:r>
          </w:p>
        </w:tc>
      </w:tr>
      <w:tr w:rsidR="00754BEE" w:rsidRPr="00023F3C" w14:paraId="2B1D4E3A" w14:textId="77777777" w:rsidTr="00EF56A2">
        <w:trPr>
          <w:trHeight w:val="746"/>
        </w:trPr>
        <w:tc>
          <w:tcPr>
            <w:tcW w:w="209" w:type="pct"/>
            <w:shd w:val="clear" w:color="auto" w:fill="auto"/>
            <w:vAlign w:val="center"/>
          </w:tcPr>
          <w:p w14:paraId="22DD4BE6" w14:textId="7620B9D9" w:rsidR="00754BEE" w:rsidDel="00600D17" w:rsidRDefault="00754BEE" w:rsidP="00754BE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1EB58335" w14:textId="443EA66B" w:rsidR="00754BEE" w:rsidRPr="00EF56A2" w:rsidRDefault="00754BEE" w:rsidP="00754BE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7CA7">
              <w:rPr>
                <w:rFonts w:ascii="Garamond" w:eastAsia="Times New Roman" w:hAnsi="Garamond" w:cs="Times New Roman"/>
                <w:color w:val="000000"/>
                <w:lang w:eastAsia="it-IT"/>
              </w:rPr>
              <w:t>L’eventuale recesso o risoluzione del contratto sono avvenuti nel rispetto della normativa vigente e di quanto previsto nel contratto?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34775B20" w14:textId="77777777" w:rsidR="00754BEE" w:rsidRPr="00023F3C" w:rsidRDefault="00754BEE" w:rsidP="00754BE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14:paraId="61EFB06B" w14:textId="77777777" w:rsidR="00754BEE" w:rsidRPr="00023F3C" w:rsidRDefault="00754BEE" w:rsidP="00754BE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14:paraId="434FD1E3" w14:textId="77777777" w:rsidR="00754BEE" w:rsidRPr="00023F3C" w:rsidRDefault="00754BEE" w:rsidP="00754BE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6833C336" w14:textId="1E5B5746" w:rsidR="00754BEE" w:rsidRPr="009E684B" w:rsidRDefault="00754BEE" w:rsidP="009E684B">
            <w:pPr>
              <w:spacing w:after="0" w:line="240" w:lineRule="auto"/>
              <w:rPr>
                <w:rFonts w:ascii="Garamond" w:hAnsi="Garamond" w:cstheme="minorHAnsi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24D4CEFA" w14:textId="77777777" w:rsidR="00754BEE" w:rsidRPr="00364510" w:rsidRDefault="00754BEE" w:rsidP="00754BE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74" w:type="pct"/>
            <w:vAlign w:val="center"/>
          </w:tcPr>
          <w:p w14:paraId="7E33827F" w14:textId="4B219D07" w:rsidR="00754BEE" w:rsidRPr="00DC1275" w:rsidRDefault="00754BEE" w:rsidP="00754BEE">
            <w:pPr>
              <w:spacing w:after="0" w:line="240" w:lineRule="auto"/>
              <w:rPr>
                <w:rFonts w:ascii="Garamond" w:hAnsi="Garamond" w:cstheme="minorHAnsi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DC1275">
              <w:rPr>
                <w:rFonts w:ascii="Garamond" w:hAnsi="Garamond" w:cstheme="minorHAnsi"/>
              </w:rPr>
              <w:t>Contratto</w:t>
            </w:r>
            <w:r>
              <w:rPr>
                <w:rFonts w:ascii="Garamond" w:hAnsi="Garamond" w:cstheme="minorHAnsi"/>
              </w:rPr>
              <w:t>/Lettera incarico</w:t>
            </w:r>
          </w:p>
          <w:p w14:paraId="131516ED" w14:textId="42D0FAEB" w:rsidR="00754BEE" w:rsidRPr="00023F3C" w:rsidRDefault="00754BEE" w:rsidP="00754BE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F56A2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hAnsi="Garamond" w:cstheme="minorHAnsi"/>
              </w:rPr>
              <w:t>Recesso o risoluzione del contratto</w:t>
            </w:r>
          </w:p>
        </w:tc>
      </w:tr>
    </w:tbl>
    <w:p w14:paraId="6CBE9379" w14:textId="77777777" w:rsidR="000109E2" w:rsidRDefault="000109E2" w:rsidP="000109E2"/>
    <w:p w14:paraId="662C802A" w14:textId="77777777" w:rsidR="000109E2" w:rsidRDefault="000109E2" w:rsidP="000109E2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0109E2" w:rsidRPr="00544D7D" w14:paraId="61A7C00E" w14:textId="77777777" w:rsidTr="003E4771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543DCB29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0109E2" w:rsidRPr="00544D7D" w14:paraId="5A96EDB2" w14:textId="77777777" w:rsidTr="008D4BF8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FC2F5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72417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0868E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0109E2" w:rsidRPr="00544D7D" w14:paraId="14DF42A2" w14:textId="77777777" w:rsidTr="008D4BF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9A605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2FE49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7202B9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0109E2" w:rsidRPr="00544D7D" w14:paraId="30CD1948" w14:textId="77777777" w:rsidTr="008D4BF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0C0902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2687E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F90A6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474FA510" w14:textId="065E3E68" w:rsidR="000109E2" w:rsidRDefault="000109E2" w:rsidP="000109E2"/>
    <w:p w14:paraId="1B18092D" w14:textId="1474D4E2" w:rsidR="000109E2" w:rsidRDefault="009E684B" w:rsidP="009E684B">
      <w:pPr>
        <w:tabs>
          <w:tab w:val="left" w:pos="4358"/>
        </w:tabs>
      </w:pPr>
      <w:r>
        <w:tab/>
      </w:r>
    </w:p>
    <w:p w14:paraId="611798CC" w14:textId="614DBAE0" w:rsidR="009E684B" w:rsidRDefault="009E684B" w:rsidP="009E684B">
      <w:pPr>
        <w:tabs>
          <w:tab w:val="left" w:pos="4358"/>
        </w:tabs>
      </w:pPr>
    </w:p>
    <w:p w14:paraId="7E070B5F" w14:textId="6F4C4035" w:rsidR="009E684B" w:rsidRDefault="009E684B" w:rsidP="009E684B">
      <w:pPr>
        <w:tabs>
          <w:tab w:val="left" w:pos="4358"/>
        </w:tabs>
      </w:pPr>
    </w:p>
    <w:p w14:paraId="5B482577" w14:textId="79D23BF1" w:rsidR="009E684B" w:rsidRDefault="009E684B" w:rsidP="009E684B">
      <w:pPr>
        <w:tabs>
          <w:tab w:val="left" w:pos="4358"/>
        </w:tabs>
      </w:pPr>
    </w:p>
    <w:p w14:paraId="1152741B" w14:textId="233CE47C" w:rsidR="009E684B" w:rsidRDefault="009E684B" w:rsidP="009E684B">
      <w:pPr>
        <w:tabs>
          <w:tab w:val="left" w:pos="4358"/>
        </w:tabs>
      </w:pPr>
    </w:p>
    <w:p w14:paraId="7216371F" w14:textId="77777777" w:rsidR="009E684B" w:rsidRDefault="009E684B" w:rsidP="009E684B">
      <w:pPr>
        <w:tabs>
          <w:tab w:val="left" w:pos="4358"/>
        </w:tabs>
      </w:pPr>
    </w:p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0109E2" w14:paraId="3015F7F8" w14:textId="77777777" w:rsidTr="003E4771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0424BAA6" w14:textId="77777777" w:rsidR="000109E2" w:rsidRDefault="000109E2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101927BB" w14:textId="77777777" w:rsidR="000109E2" w:rsidRDefault="000109E2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0109E2" w14:paraId="6C657E92" w14:textId="77777777" w:rsidTr="003E4771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55D6A010" w14:textId="77777777" w:rsidR="000109E2" w:rsidRDefault="000109E2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25C75DC8" w14:textId="77777777" w:rsidR="000109E2" w:rsidRDefault="000109E2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0109E2" w14:paraId="7A408ECF" w14:textId="77777777" w:rsidTr="003E4771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0CB59ABB" w14:textId="77777777" w:rsidR="000109E2" w:rsidRDefault="000109E2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2DFDBCCB" w14:textId="77777777" w:rsidR="000109E2" w:rsidRDefault="000109E2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0109E2" w14:paraId="37CA8BE6" w14:textId="77777777" w:rsidTr="003E4771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19B39DF4" w14:textId="77777777" w:rsidR="000109E2" w:rsidRDefault="000109E2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1ABF4BC5" w14:textId="77777777" w:rsidR="000109E2" w:rsidRDefault="000109E2" w:rsidP="008D4BF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7065CD65" w14:textId="77777777" w:rsidR="000109E2" w:rsidRDefault="000109E2" w:rsidP="000109E2"/>
    <w:p w14:paraId="0C85898A" w14:textId="77777777" w:rsidR="000109E2" w:rsidRDefault="000109E2" w:rsidP="000109E2"/>
    <w:p w14:paraId="79FA31B2" w14:textId="77777777" w:rsidR="000109E2" w:rsidRDefault="000109E2" w:rsidP="000109E2"/>
    <w:p w14:paraId="0E516D35" w14:textId="77777777" w:rsidR="000109E2" w:rsidRDefault="000109E2" w:rsidP="000109E2"/>
    <w:p w14:paraId="64D74153" w14:textId="77777777" w:rsidR="000109E2" w:rsidRDefault="000109E2" w:rsidP="000109E2"/>
    <w:p w14:paraId="30F1FA66" w14:textId="77777777" w:rsidR="000109E2" w:rsidRDefault="000109E2" w:rsidP="000109E2"/>
    <w:p w14:paraId="68EC5313" w14:textId="77777777" w:rsidR="000109E2" w:rsidRDefault="000109E2" w:rsidP="000109E2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0109E2" w:rsidRPr="00544D7D" w14:paraId="110B06ED" w14:textId="77777777" w:rsidTr="003E4771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4D3BFAA2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0109E2" w:rsidRPr="00544D7D" w14:paraId="21EC7554" w14:textId="77777777" w:rsidTr="008D4BF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155F0D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0109E2" w:rsidRPr="00544D7D" w14:paraId="362FADB4" w14:textId="77777777" w:rsidTr="003E4771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75DD7E2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0109E2" w:rsidRPr="00544D7D" w14:paraId="30388570" w14:textId="77777777" w:rsidTr="008D4BF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7997F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0109E2" w:rsidRPr="00544D7D" w14:paraId="2B9C5E10" w14:textId="77777777" w:rsidTr="003E4771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0363ED89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0109E2" w:rsidRPr="00544D7D" w14:paraId="01CE6505" w14:textId="77777777" w:rsidTr="008D4BF8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D1559E" w14:textId="77777777" w:rsidR="000109E2" w:rsidRPr="00544D7D" w:rsidRDefault="000109E2" w:rsidP="008D4B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6062364" w14:textId="77777777" w:rsidR="000109E2" w:rsidRPr="00544D7D" w:rsidRDefault="000109E2" w:rsidP="000109E2">
      <w:pPr>
        <w:rPr>
          <w:rFonts w:ascii="Garamond" w:hAnsi="Garamond"/>
        </w:rPr>
      </w:pPr>
    </w:p>
    <w:p w14:paraId="1488A47A" w14:textId="77777777" w:rsidR="000109E2" w:rsidRDefault="000109E2" w:rsidP="000109E2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0109E2" w:rsidRPr="00EC3B0D" w14:paraId="09B900F0" w14:textId="77777777" w:rsidTr="008D4BF8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1A8B13" w14:textId="77777777" w:rsidR="000109E2" w:rsidRPr="00EC3B0D" w:rsidRDefault="000109E2" w:rsidP="008D4BF8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563EED" w14:textId="77777777" w:rsidR="000109E2" w:rsidRPr="00EC3B0D" w:rsidRDefault="000109E2" w:rsidP="008D4BF8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0109E2" w:rsidRPr="00EC3B0D" w14:paraId="6CC9C7FF" w14:textId="77777777" w:rsidTr="00ED252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ADD0" w14:textId="77777777" w:rsidR="000109E2" w:rsidRPr="00EC3B0D" w:rsidRDefault="000109E2" w:rsidP="008D4BF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0109E2" w:rsidRPr="00EC3B0D" w14:paraId="6F218982" w14:textId="77777777" w:rsidTr="00ED252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6DC3" w14:textId="77777777" w:rsidR="000109E2" w:rsidRPr="00EC3B0D" w:rsidRDefault="000109E2" w:rsidP="008D4BF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74A53EDA" w14:textId="77777777" w:rsidR="000109E2" w:rsidRDefault="000109E2" w:rsidP="000109E2">
      <w:pPr>
        <w:rPr>
          <w:rFonts w:ascii="Garamond" w:hAnsi="Garamond"/>
        </w:rPr>
      </w:pPr>
    </w:p>
    <w:p w14:paraId="02693081" w14:textId="77777777" w:rsidR="000109E2" w:rsidRDefault="000109E2" w:rsidP="000109E2">
      <w:pPr>
        <w:rPr>
          <w:rFonts w:ascii="Garamond" w:hAnsi="Garamond"/>
        </w:rPr>
      </w:pPr>
    </w:p>
    <w:p w14:paraId="1876695B" w14:textId="77777777" w:rsidR="000109E2" w:rsidRDefault="000109E2" w:rsidP="000109E2">
      <w:pPr>
        <w:rPr>
          <w:rFonts w:ascii="Garamond" w:hAnsi="Garamond"/>
        </w:rPr>
      </w:pPr>
    </w:p>
    <w:p w14:paraId="11B48D26" w14:textId="77777777" w:rsidR="000109E2" w:rsidRDefault="000109E2" w:rsidP="000109E2"/>
    <w:p w14:paraId="5697A10D" w14:textId="77777777" w:rsidR="000109E2" w:rsidRDefault="000109E2" w:rsidP="000109E2"/>
    <w:p w14:paraId="435434FB" w14:textId="77777777" w:rsidR="00DC29C7" w:rsidRPr="00023F3C" w:rsidRDefault="00DC29C7" w:rsidP="000109E2">
      <w:pPr>
        <w:rPr>
          <w:rFonts w:ascii="Garamond" w:hAnsi="Garamond"/>
        </w:rPr>
      </w:pPr>
    </w:p>
    <w:sectPr w:rsidR="00DC29C7" w:rsidRPr="00023F3C" w:rsidSect="00043F3E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0FA69" w14:textId="77777777" w:rsidR="00162BD6" w:rsidRDefault="00162BD6" w:rsidP="00BB082A">
      <w:pPr>
        <w:spacing w:after="0" w:line="240" w:lineRule="auto"/>
      </w:pPr>
      <w:r>
        <w:separator/>
      </w:r>
    </w:p>
  </w:endnote>
  <w:endnote w:type="continuationSeparator" w:id="0">
    <w:p w14:paraId="46DDE68F" w14:textId="77777777" w:rsidR="00162BD6" w:rsidRDefault="00162BD6" w:rsidP="00BB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F1456" w14:textId="77777777" w:rsidR="006E2C59" w:rsidRDefault="006E2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863077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082326A6" w14:textId="5140610F" w:rsidR="009B39D4" w:rsidRPr="00B50AD7" w:rsidRDefault="009B39D4">
        <w:pPr>
          <w:pStyle w:val="Pidipagina"/>
          <w:jc w:val="right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1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156069BB" w14:textId="77777777" w:rsidR="009B39D4" w:rsidRDefault="009B39D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39E0" w14:textId="77777777" w:rsidR="006E2C59" w:rsidRDefault="006E2C5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1316444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58B17895" w14:textId="46C20B3B" w:rsidR="009B39D4" w:rsidRPr="00B50AD7" w:rsidRDefault="009B39D4" w:rsidP="000109E2">
        <w:pPr>
          <w:pStyle w:val="Pidipagina"/>
          <w:jc w:val="center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9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2B6BE36B" w14:textId="77777777" w:rsidR="009B39D4" w:rsidRDefault="009B39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99B1F" w14:textId="77777777" w:rsidR="00162BD6" w:rsidRDefault="00162BD6" w:rsidP="00BB082A">
      <w:pPr>
        <w:spacing w:after="0" w:line="240" w:lineRule="auto"/>
      </w:pPr>
      <w:r>
        <w:separator/>
      </w:r>
    </w:p>
  </w:footnote>
  <w:footnote w:type="continuationSeparator" w:id="0">
    <w:p w14:paraId="73CEB9CA" w14:textId="77777777" w:rsidR="00162BD6" w:rsidRDefault="00162BD6" w:rsidP="00BB082A">
      <w:pPr>
        <w:spacing w:after="0" w:line="240" w:lineRule="auto"/>
      </w:pPr>
      <w:r>
        <w:continuationSeparator/>
      </w:r>
    </w:p>
  </w:footnote>
  <w:footnote w:id="1">
    <w:p w14:paraId="6DC02AC4" w14:textId="77777777" w:rsidR="00F63F03" w:rsidRDefault="00F63F03" w:rsidP="00F42A2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9FCC7" w14:textId="77777777" w:rsidR="006E2C59" w:rsidRDefault="006E2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3E4771" w14:paraId="7BCBD39C" w14:textId="77777777" w:rsidTr="00114DF3">
      <w:trPr>
        <w:jc w:val="center"/>
      </w:trPr>
      <w:tc>
        <w:tcPr>
          <w:tcW w:w="4814" w:type="dxa"/>
          <w:hideMark/>
        </w:tcPr>
        <w:p w14:paraId="2DAB948E" w14:textId="48FF037E" w:rsidR="00114DF3" w:rsidRDefault="00114DF3" w:rsidP="00114DF3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6D5D41A0" wp14:editId="4E2DAAD1">
                <wp:extent cx="1663700" cy="419100"/>
                <wp:effectExtent l="0" t="0" r="0" b="0"/>
                <wp:docPr id="1" name="Immagin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2A6EE820" w14:textId="3B1F3987" w:rsidR="00114DF3" w:rsidRDefault="003E4771" w:rsidP="00114DF3">
          <w:pPr>
            <w:pStyle w:val="Intestazione"/>
          </w:pPr>
          <w:r>
            <w:rPr>
              <w:noProof/>
            </w:rPr>
            <w:drawing>
              <wp:inline distT="0" distB="0" distL="0" distR="0" wp14:anchorId="37EEB607" wp14:editId="482E012E">
                <wp:extent cx="2205778" cy="462760"/>
                <wp:effectExtent l="0" t="0" r="4445" b="0"/>
                <wp:docPr id="5" name="Immagine 5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0334" cy="4804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0D21F9A" w14:textId="44A47162" w:rsidR="00114DF3" w:rsidRDefault="00114DF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80564" w14:textId="77777777" w:rsidR="006E2C59" w:rsidRDefault="006E2C5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6A7207" w14:paraId="18C9439D" w14:textId="77777777" w:rsidTr="006A7207">
      <w:trPr>
        <w:jc w:val="center"/>
      </w:trPr>
      <w:tc>
        <w:tcPr>
          <w:tcW w:w="4814" w:type="dxa"/>
          <w:hideMark/>
        </w:tcPr>
        <w:p w14:paraId="436F7485" w14:textId="77B34769" w:rsidR="006A7207" w:rsidRDefault="006A7207" w:rsidP="006A7207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3F087B50" wp14:editId="6593F1E2">
                <wp:extent cx="1663700" cy="419100"/>
                <wp:effectExtent l="0" t="0" r="0" b="0"/>
                <wp:docPr id="3" name="Immagine 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25D5DE98" w14:textId="6E37A01F" w:rsidR="006A7207" w:rsidRDefault="006E2C59" w:rsidP="006A7207">
          <w:pPr>
            <w:pStyle w:val="Intestazione"/>
          </w:pPr>
          <w:r>
            <w:rPr>
              <w:noProof/>
            </w:rPr>
            <w:drawing>
              <wp:inline distT="0" distB="0" distL="0" distR="0" wp14:anchorId="6706AFBC" wp14:editId="581CDC29">
                <wp:extent cx="1809750" cy="379760"/>
                <wp:effectExtent l="0" t="0" r="0" b="1270"/>
                <wp:docPr id="2" name="Immagine 2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7318" cy="3813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31A24CB" w14:textId="77777777" w:rsidR="009B39D4" w:rsidRDefault="009B39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E2E47"/>
    <w:multiLevelType w:val="hybridMultilevel"/>
    <w:tmpl w:val="135CF2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C83F67"/>
    <w:multiLevelType w:val="hybridMultilevel"/>
    <w:tmpl w:val="173CD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B6E0A"/>
    <w:multiLevelType w:val="hybridMultilevel"/>
    <w:tmpl w:val="1FBA64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8281D"/>
    <w:multiLevelType w:val="hybridMultilevel"/>
    <w:tmpl w:val="19D0B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731B9"/>
    <w:multiLevelType w:val="hybridMultilevel"/>
    <w:tmpl w:val="677458C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413AF"/>
    <w:multiLevelType w:val="hybridMultilevel"/>
    <w:tmpl w:val="6B32B69C"/>
    <w:lvl w:ilvl="0" w:tplc="28F0FA2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77330"/>
    <w:multiLevelType w:val="hybridMultilevel"/>
    <w:tmpl w:val="9EB64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65A7C"/>
    <w:multiLevelType w:val="hybridMultilevel"/>
    <w:tmpl w:val="69FA3A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04298"/>
    <w:multiLevelType w:val="hybridMultilevel"/>
    <w:tmpl w:val="E988A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B1185"/>
    <w:multiLevelType w:val="hybridMultilevel"/>
    <w:tmpl w:val="054C9E9C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367CA"/>
    <w:multiLevelType w:val="hybridMultilevel"/>
    <w:tmpl w:val="F9CE19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E53BD"/>
    <w:multiLevelType w:val="hybridMultilevel"/>
    <w:tmpl w:val="8C8094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A3D70"/>
    <w:multiLevelType w:val="hybridMultilevel"/>
    <w:tmpl w:val="9354A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23954">
    <w:abstractNumId w:val="9"/>
  </w:num>
  <w:num w:numId="2" w16cid:durableId="1041706037">
    <w:abstractNumId w:val="7"/>
  </w:num>
  <w:num w:numId="3" w16cid:durableId="288827565">
    <w:abstractNumId w:val="12"/>
  </w:num>
  <w:num w:numId="4" w16cid:durableId="1424643641">
    <w:abstractNumId w:val="18"/>
  </w:num>
  <w:num w:numId="5" w16cid:durableId="1140029171">
    <w:abstractNumId w:val="13"/>
  </w:num>
  <w:num w:numId="6" w16cid:durableId="1173690424">
    <w:abstractNumId w:val="17"/>
  </w:num>
  <w:num w:numId="7" w16cid:durableId="1593850509">
    <w:abstractNumId w:val="2"/>
  </w:num>
  <w:num w:numId="8" w16cid:durableId="483934369">
    <w:abstractNumId w:val="6"/>
  </w:num>
  <w:num w:numId="9" w16cid:durableId="1859268069">
    <w:abstractNumId w:val="11"/>
  </w:num>
  <w:num w:numId="10" w16cid:durableId="778187244">
    <w:abstractNumId w:val="14"/>
  </w:num>
  <w:num w:numId="11" w16cid:durableId="1000962914">
    <w:abstractNumId w:val="7"/>
  </w:num>
  <w:num w:numId="12" w16cid:durableId="1833637151">
    <w:abstractNumId w:val="15"/>
  </w:num>
  <w:num w:numId="13" w16cid:durableId="720709761">
    <w:abstractNumId w:val="16"/>
  </w:num>
  <w:num w:numId="14" w16cid:durableId="1654675565">
    <w:abstractNumId w:val="10"/>
  </w:num>
  <w:num w:numId="15" w16cid:durableId="1807821214">
    <w:abstractNumId w:val="3"/>
  </w:num>
  <w:num w:numId="16" w16cid:durableId="261110725">
    <w:abstractNumId w:val="5"/>
  </w:num>
  <w:num w:numId="17" w16cid:durableId="1117413093">
    <w:abstractNumId w:val="20"/>
  </w:num>
  <w:num w:numId="18" w16cid:durableId="1869947766">
    <w:abstractNumId w:val="19"/>
  </w:num>
  <w:num w:numId="19" w16cid:durableId="257258757">
    <w:abstractNumId w:val="21"/>
  </w:num>
  <w:num w:numId="20" w16cid:durableId="1049379320">
    <w:abstractNumId w:val="0"/>
  </w:num>
  <w:num w:numId="21" w16cid:durableId="864513183">
    <w:abstractNumId w:val="1"/>
  </w:num>
  <w:num w:numId="22" w16cid:durableId="118113181">
    <w:abstractNumId w:val="4"/>
  </w:num>
  <w:num w:numId="23" w16cid:durableId="776682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2A"/>
    <w:rsid w:val="000001A3"/>
    <w:rsid w:val="000009CA"/>
    <w:rsid w:val="000011E7"/>
    <w:rsid w:val="00004A8E"/>
    <w:rsid w:val="00004CBE"/>
    <w:rsid w:val="00006DB9"/>
    <w:rsid w:val="000109E2"/>
    <w:rsid w:val="00010DB6"/>
    <w:rsid w:val="00014EC9"/>
    <w:rsid w:val="000155DE"/>
    <w:rsid w:val="000157EB"/>
    <w:rsid w:val="00017ECC"/>
    <w:rsid w:val="00022419"/>
    <w:rsid w:val="00023F3C"/>
    <w:rsid w:val="00024584"/>
    <w:rsid w:val="00025D50"/>
    <w:rsid w:val="00030220"/>
    <w:rsid w:val="0003410A"/>
    <w:rsid w:val="00043F3E"/>
    <w:rsid w:val="000444CC"/>
    <w:rsid w:val="000455AC"/>
    <w:rsid w:val="00046109"/>
    <w:rsid w:val="000461B3"/>
    <w:rsid w:val="00051BB5"/>
    <w:rsid w:val="00054180"/>
    <w:rsid w:val="00061116"/>
    <w:rsid w:val="0006261D"/>
    <w:rsid w:val="00064389"/>
    <w:rsid w:val="00070C96"/>
    <w:rsid w:val="00075F05"/>
    <w:rsid w:val="000822B6"/>
    <w:rsid w:val="000874FA"/>
    <w:rsid w:val="000878AE"/>
    <w:rsid w:val="000919E5"/>
    <w:rsid w:val="00091EE7"/>
    <w:rsid w:val="00093894"/>
    <w:rsid w:val="00097DEF"/>
    <w:rsid w:val="000A1CFE"/>
    <w:rsid w:val="000A5FC0"/>
    <w:rsid w:val="000C377B"/>
    <w:rsid w:val="000C48A8"/>
    <w:rsid w:val="000C69A8"/>
    <w:rsid w:val="000C77E2"/>
    <w:rsid w:val="000C7E0D"/>
    <w:rsid w:val="000D2FB2"/>
    <w:rsid w:val="000D55EE"/>
    <w:rsid w:val="000D5884"/>
    <w:rsid w:val="000D58B5"/>
    <w:rsid w:val="000D74F1"/>
    <w:rsid w:val="000D79A1"/>
    <w:rsid w:val="000E4DD2"/>
    <w:rsid w:val="000E578D"/>
    <w:rsid w:val="000F17A6"/>
    <w:rsid w:val="000F4978"/>
    <w:rsid w:val="00100972"/>
    <w:rsid w:val="00101CAC"/>
    <w:rsid w:val="00102109"/>
    <w:rsid w:val="0010461D"/>
    <w:rsid w:val="00114DF3"/>
    <w:rsid w:val="0011714F"/>
    <w:rsid w:val="00117463"/>
    <w:rsid w:val="00120BBB"/>
    <w:rsid w:val="0012255F"/>
    <w:rsid w:val="00123085"/>
    <w:rsid w:val="00125F53"/>
    <w:rsid w:val="00127CA8"/>
    <w:rsid w:val="0013042E"/>
    <w:rsid w:val="00133858"/>
    <w:rsid w:val="00133EEC"/>
    <w:rsid w:val="00141062"/>
    <w:rsid w:val="00143323"/>
    <w:rsid w:val="00143900"/>
    <w:rsid w:val="0014426C"/>
    <w:rsid w:val="00144A58"/>
    <w:rsid w:val="00154096"/>
    <w:rsid w:val="00155152"/>
    <w:rsid w:val="00155892"/>
    <w:rsid w:val="001627D7"/>
    <w:rsid w:val="00162BD6"/>
    <w:rsid w:val="00165B93"/>
    <w:rsid w:val="0017623E"/>
    <w:rsid w:val="00184FE2"/>
    <w:rsid w:val="001932B6"/>
    <w:rsid w:val="00194C28"/>
    <w:rsid w:val="001A087A"/>
    <w:rsid w:val="001A0D35"/>
    <w:rsid w:val="001A0F1A"/>
    <w:rsid w:val="001A3596"/>
    <w:rsid w:val="001A51FC"/>
    <w:rsid w:val="001B6E13"/>
    <w:rsid w:val="001C007B"/>
    <w:rsid w:val="001C0AAE"/>
    <w:rsid w:val="001C0ED4"/>
    <w:rsid w:val="001C1C89"/>
    <w:rsid w:val="001C2D77"/>
    <w:rsid w:val="001C7901"/>
    <w:rsid w:val="001D2DAE"/>
    <w:rsid w:val="001D41EC"/>
    <w:rsid w:val="001D5A7F"/>
    <w:rsid w:val="001E00A5"/>
    <w:rsid w:val="001E25B6"/>
    <w:rsid w:val="001E53BE"/>
    <w:rsid w:val="001E6224"/>
    <w:rsid w:val="001F1563"/>
    <w:rsid w:val="001F1E8A"/>
    <w:rsid w:val="001F2C2D"/>
    <w:rsid w:val="00200EAB"/>
    <w:rsid w:val="0020244A"/>
    <w:rsid w:val="00206018"/>
    <w:rsid w:val="002121B6"/>
    <w:rsid w:val="00214063"/>
    <w:rsid w:val="002144FE"/>
    <w:rsid w:val="00216803"/>
    <w:rsid w:val="00220C33"/>
    <w:rsid w:val="002279C4"/>
    <w:rsid w:val="002312AB"/>
    <w:rsid w:val="00231E48"/>
    <w:rsid w:val="00232BC9"/>
    <w:rsid w:val="00234289"/>
    <w:rsid w:val="002422EE"/>
    <w:rsid w:val="002447CA"/>
    <w:rsid w:val="002455F8"/>
    <w:rsid w:val="00245BF2"/>
    <w:rsid w:val="00250D98"/>
    <w:rsid w:val="00252450"/>
    <w:rsid w:val="00252918"/>
    <w:rsid w:val="0025426E"/>
    <w:rsid w:val="002555BF"/>
    <w:rsid w:val="00255F4D"/>
    <w:rsid w:val="00257A47"/>
    <w:rsid w:val="00264E40"/>
    <w:rsid w:val="00266008"/>
    <w:rsid w:val="002741C7"/>
    <w:rsid w:val="002764FC"/>
    <w:rsid w:val="00276ECB"/>
    <w:rsid w:val="00277B83"/>
    <w:rsid w:val="0028116E"/>
    <w:rsid w:val="0028365A"/>
    <w:rsid w:val="00283694"/>
    <w:rsid w:val="002857A0"/>
    <w:rsid w:val="00286FD4"/>
    <w:rsid w:val="00291391"/>
    <w:rsid w:val="00292EAF"/>
    <w:rsid w:val="002944B8"/>
    <w:rsid w:val="002947D5"/>
    <w:rsid w:val="002B1FC3"/>
    <w:rsid w:val="002B2F4C"/>
    <w:rsid w:val="002B38FA"/>
    <w:rsid w:val="002B71A1"/>
    <w:rsid w:val="002C0516"/>
    <w:rsid w:val="002C0B0E"/>
    <w:rsid w:val="002C13A0"/>
    <w:rsid w:val="002C2D40"/>
    <w:rsid w:val="002D355B"/>
    <w:rsid w:val="002D3637"/>
    <w:rsid w:val="002D5854"/>
    <w:rsid w:val="002E2333"/>
    <w:rsid w:val="002F418F"/>
    <w:rsid w:val="002F5E64"/>
    <w:rsid w:val="002F6E3C"/>
    <w:rsid w:val="002F7698"/>
    <w:rsid w:val="00304245"/>
    <w:rsid w:val="00304DFE"/>
    <w:rsid w:val="00305EDF"/>
    <w:rsid w:val="00306420"/>
    <w:rsid w:val="00307771"/>
    <w:rsid w:val="00311823"/>
    <w:rsid w:val="00314834"/>
    <w:rsid w:val="003179D3"/>
    <w:rsid w:val="00323CD3"/>
    <w:rsid w:val="0033057B"/>
    <w:rsid w:val="00335933"/>
    <w:rsid w:val="00336374"/>
    <w:rsid w:val="0033684D"/>
    <w:rsid w:val="003372AC"/>
    <w:rsid w:val="003412DA"/>
    <w:rsid w:val="003415A1"/>
    <w:rsid w:val="003422BA"/>
    <w:rsid w:val="003434D7"/>
    <w:rsid w:val="00345290"/>
    <w:rsid w:val="0035144E"/>
    <w:rsid w:val="0035145F"/>
    <w:rsid w:val="00351EAB"/>
    <w:rsid w:val="00353A70"/>
    <w:rsid w:val="00357107"/>
    <w:rsid w:val="003659A9"/>
    <w:rsid w:val="00367008"/>
    <w:rsid w:val="00371A70"/>
    <w:rsid w:val="00371D66"/>
    <w:rsid w:val="003738BD"/>
    <w:rsid w:val="0037434D"/>
    <w:rsid w:val="00374792"/>
    <w:rsid w:val="0038182D"/>
    <w:rsid w:val="00382841"/>
    <w:rsid w:val="00395490"/>
    <w:rsid w:val="003A3200"/>
    <w:rsid w:val="003A3FEB"/>
    <w:rsid w:val="003A47C0"/>
    <w:rsid w:val="003A53D8"/>
    <w:rsid w:val="003A5746"/>
    <w:rsid w:val="003A5ED1"/>
    <w:rsid w:val="003B04A2"/>
    <w:rsid w:val="003C2AD5"/>
    <w:rsid w:val="003C59F8"/>
    <w:rsid w:val="003C630B"/>
    <w:rsid w:val="003C716A"/>
    <w:rsid w:val="003D460D"/>
    <w:rsid w:val="003D5541"/>
    <w:rsid w:val="003E4771"/>
    <w:rsid w:val="003E4921"/>
    <w:rsid w:val="003F3E71"/>
    <w:rsid w:val="004002FA"/>
    <w:rsid w:val="0040085D"/>
    <w:rsid w:val="00405400"/>
    <w:rsid w:val="00407375"/>
    <w:rsid w:val="00416199"/>
    <w:rsid w:val="004168A7"/>
    <w:rsid w:val="00417BDF"/>
    <w:rsid w:val="00427EDD"/>
    <w:rsid w:val="00432EA6"/>
    <w:rsid w:val="0043416F"/>
    <w:rsid w:val="004370D2"/>
    <w:rsid w:val="00443932"/>
    <w:rsid w:val="0044632E"/>
    <w:rsid w:val="0045481A"/>
    <w:rsid w:val="00461C82"/>
    <w:rsid w:val="004638A7"/>
    <w:rsid w:val="00464B63"/>
    <w:rsid w:val="00466F8F"/>
    <w:rsid w:val="004707DC"/>
    <w:rsid w:val="004761B6"/>
    <w:rsid w:val="00483161"/>
    <w:rsid w:val="004874BD"/>
    <w:rsid w:val="0049272C"/>
    <w:rsid w:val="004970EF"/>
    <w:rsid w:val="004A571D"/>
    <w:rsid w:val="004B05A3"/>
    <w:rsid w:val="004B22E8"/>
    <w:rsid w:val="004C43E9"/>
    <w:rsid w:val="004D059D"/>
    <w:rsid w:val="004D367C"/>
    <w:rsid w:val="004D6ECD"/>
    <w:rsid w:val="004E0E37"/>
    <w:rsid w:val="004E12F5"/>
    <w:rsid w:val="004E1645"/>
    <w:rsid w:val="004E4C5A"/>
    <w:rsid w:val="004E5BBC"/>
    <w:rsid w:val="004F14DF"/>
    <w:rsid w:val="004F1577"/>
    <w:rsid w:val="004F1A6A"/>
    <w:rsid w:val="00502E70"/>
    <w:rsid w:val="00503AEE"/>
    <w:rsid w:val="00504F25"/>
    <w:rsid w:val="00505633"/>
    <w:rsid w:val="005056A5"/>
    <w:rsid w:val="005118A5"/>
    <w:rsid w:val="00514C28"/>
    <w:rsid w:val="005166F7"/>
    <w:rsid w:val="0051675E"/>
    <w:rsid w:val="00522B0F"/>
    <w:rsid w:val="005242EE"/>
    <w:rsid w:val="00524849"/>
    <w:rsid w:val="0052724A"/>
    <w:rsid w:val="0053527D"/>
    <w:rsid w:val="0055048B"/>
    <w:rsid w:val="005600AF"/>
    <w:rsid w:val="00560AF3"/>
    <w:rsid w:val="00564841"/>
    <w:rsid w:val="005652FD"/>
    <w:rsid w:val="005656F2"/>
    <w:rsid w:val="00565835"/>
    <w:rsid w:val="00565A53"/>
    <w:rsid w:val="00566776"/>
    <w:rsid w:val="0057134C"/>
    <w:rsid w:val="005720A4"/>
    <w:rsid w:val="0057251F"/>
    <w:rsid w:val="005726DD"/>
    <w:rsid w:val="00576A04"/>
    <w:rsid w:val="00576C86"/>
    <w:rsid w:val="00580438"/>
    <w:rsid w:val="005840F0"/>
    <w:rsid w:val="005A5F22"/>
    <w:rsid w:val="005C31B3"/>
    <w:rsid w:val="005C5BED"/>
    <w:rsid w:val="005C776C"/>
    <w:rsid w:val="005D185D"/>
    <w:rsid w:val="005D2707"/>
    <w:rsid w:val="005E1202"/>
    <w:rsid w:val="005E4593"/>
    <w:rsid w:val="005E7AFF"/>
    <w:rsid w:val="005F3975"/>
    <w:rsid w:val="005F431B"/>
    <w:rsid w:val="00600D17"/>
    <w:rsid w:val="00601DD1"/>
    <w:rsid w:val="00603D28"/>
    <w:rsid w:val="006059E0"/>
    <w:rsid w:val="00606C95"/>
    <w:rsid w:val="00607D7F"/>
    <w:rsid w:val="0061055A"/>
    <w:rsid w:val="00610D52"/>
    <w:rsid w:val="00612412"/>
    <w:rsid w:val="0062120E"/>
    <w:rsid w:val="00622068"/>
    <w:rsid w:val="00622822"/>
    <w:rsid w:val="00624956"/>
    <w:rsid w:val="006266A8"/>
    <w:rsid w:val="00626C56"/>
    <w:rsid w:val="00631AC7"/>
    <w:rsid w:val="006323AB"/>
    <w:rsid w:val="0063341A"/>
    <w:rsid w:val="00652A53"/>
    <w:rsid w:val="0065327D"/>
    <w:rsid w:val="00655E43"/>
    <w:rsid w:val="0065635B"/>
    <w:rsid w:val="0065654E"/>
    <w:rsid w:val="00657423"/>
    <w:rsid w:val="006574D2"/>
    <w:rsid w:val="006607A3"/>
    <w:rsid w:val="006619F0"/>
    <w:rsid w:val="006644A8"/>
    <w:rsid w:val="006658AE"/>
    <w:rsid w:val="00667219"/>
    <w:rsid w:val="006704FB"/>
    <w:rsid w:val="00670DE3"/>
    <w:rsid w:val="00671669"/>
    <w:rsid w:val="00673565"/>
    <w:rsid w:val="00683A3C"/>
    <w:rsid w:val="0068488B"/>
    <w:rsid w:val="00697E2E"/>
    <w:rsid w:val="006A1510"/>
    <w:rsid w:val="006A3081"/>
    <w:rsid w:val="006A7207"/>
    <w:rsid w:val="006B0057"/>
    <w:rsid w:val="006B2E97"/>
    <w:rsid w:val="006B35CE"/>
    <w:rsid w:val="006B5EA7"/>
    <w:rsid w:val="006C2415"/>
    <w:rsid w:val="006C3DEF"/>
    <w:rsid w:val="006C57DD"/>
    <w:rsid w:val="006C6813"/>
    <w:rsid w:val="006D3072"/>
    <w:rsid w:val="006D31DD"/>
    <w:rsid w:val="006D4985"/>
    <w:rsid w:val="006E2A43"/>
    <w:rsid w:val="006E2C59"/>
    <w:rsid w:val="006F1591"/>
    <w:rsid w:val="006F4E5D"/>
    <w:rsid w:val="006F631C"/>
    <w:rsid w:val="00701C35"/>
    <w:rsid w:val="007026AC"/>
    <w:rsid w:val="007141BD"/>
    <w:rsid w:val="00727ACE"/>
    <w:rsid w:val="00730F01"/>
    <w:rsid w:val="007435D8"/>
    <w:rsid w:val="00751550"/>
    <w:rsid w:val="0075362B"/>
    <w:rsid w:val="00754BEE"/>
    <w:rsid w:val="007562E0"/>
    <w:rsid w:val="00756411"/>
    <w:rsid w:val="0075740F"/>
    <w:rsid w:val="007621DA"/>
    <w:rsid w:val="00767CA7"/>
    <w:rsid w:val="007728A0"/>
    <w:rsid w:val="00775ACB"/>
    <w:rsid w:val="00776387"/>
    <w:rsid w:val="00777F0B"/>
    <w:rsid w:val="00781EFA"/>
    <w:rsid w:val="00783F96"/>
    <w:rsid w:val="0078477E"/>
    <w:rsid w:val="00797071"/>
    <w:rsid w:val="00797431"/>
    <w:rsid w:val="007B3C4D"/>
    <w:rsid w:val="007B4B42"/>
    <w:rsid w:val="007B4C7C"/>
    <w:rsid w:val="007B732B"/>
    <w:rsid w:val="007C140E"/>
    <w:rsid w:val="007C6B79"/>
    <w:rsid w:val="007D03C0"/>
    <w:rsid w:val="007D5917"/>
    <w:rsid w:val="007E3A2F"/>
    <w:rsid w:val="007E407A"/>
    <w:rsid w:val="007E4420"/>
    <w:rsid w:val="007F1A5F"/>
    <w:rsid w:val="00803BA8"/>
    <w:rsid w:val="00805098"/>
    <w:rsid w:val="00807464"/>
    <w:rsid w:val="00810B67"/>
    <w:rsid w:val="00814F0B"/>
    <w:rsid w:val="00815B50"/>
    <w:rsid w:val="0082349C"/>
    <w:rsid w:val="00825260"/>
    <w:rsid w:val="00830928"/>
    <w:rsid w:val="00831BC9"/>
    <w:rsid w:val="0083475D"/>
    <w:rsid w:val="00840163"/>
    <w:rsid w:val="0084091A"/>
    <w:rsid w:val="008411DB"/>
    <w:rsid w:val="0084147D"/>
    <w:rsid w:val="0084165B"/>
    <w:rsid w:val="0084257A"/>
    <w:rsid w:val="008539A6"/>
    <w:rsid w:val="00853BA1"/>
    <w:rsid w:val="00853D98"/>
    <w:rsid w:val="00856F49"/>
    <w:rsid w:val="00861D48"/>
    <w:rsid w:val="00862347"/>
    <w:rsid w:val="00867FC8"/>
    <w:rsid w:val="00875A6E"/>
    <w:rsid w:val="0087678B"/>
    <w:rsid w:val="00880422"/>
    <w:rsid w:val="0088557D"/>
    <w:rsid w:val="00886947"/>
    <w:rsid w:val="00886CF8"/>
    <w:rsid w:val="00890176"/>
    <w:rsid w:val="0089064D"/>
    <w:rsid w:val="008A4741"/>
    <w:rsid w:val="008A47F5"/>
    <w:rsid w:val="008A50FB"/>
    <w:rsid w:val="008B11DF"/>
    <w:rsid w:val="008B38D3"/>
    <w:rsid w:val="008C01F8"/>
    <w:rsid w:val="008C2B1B"/>
    <w:rsid w:val="008C4DB0"/>
    <w:rsid w:val="008C6548"/>
    <w:rsid w:val="008D160F"/>
    <w:rsid w:val="008D2A99"/>
    <w:rsid w:val="008D39EF"/>
    <w:rsid w:val="008E64EF"/>
    <w:rsid w:val="008F151A"/>
    <w:rsid w:val="008F1FBB"/>
    <w:rsid w:val="008F2F96"/>
    <w:rsid w:val="008F68E1"/>
    <w:rsid w:val="009043EC"/>
    <w:rsid w:val="00905F16"/>
    <w:rsid w:val="00906089"/>
    <w:rsid w:val="00910E31"/>
    <w:rsid w:val="0091433A"/>
    <w:rsid w:val="00914787"/>
    <w:rsid w:val="009157FC"/>
    <w:rsid w:val="009204A0"/>
    <w:rsid w:val="00921F6C"/>
    <w:rsid w:val="009269E9"/>
    <w:rsid w:val="00926DBD"/>
    <w:rsid w:val="009274BD"/>
    <w:rsid w:val="009341BA"/>
    <w:rsid w:val="00934E13"/>
    <w:rsid w:val="0093505B"/>
    <w:rsid w:val="00936E2F"/>
    <w:rsid w:val="009372B3"/>
    <w:rsid w:val="00937EE3"/>
    <w:rsid w:val="00944020"/>
    <w:rsid w:val="0095074B"/>
    <w:rsid w:val="0095136F"/>
    <w:rsid w:val="009545A5"/>
    <w:rsid w:val="00955D71"/>
    <w:rsid w:val="00956576"/>
    <w:rsid w:val="0096137C"/>
    <w:rsid w:val="00962200"/>
    <w:rsid w:val="00966A3D"/>
    <w:rsid w:val="00970790"/>
    <w:rsid w:val="00973465"/>
    <w:rsid w:val="00976FC1"/>
    <w:rsid w:val="009817AC"/>
    <w:rsid w:val="009826A1"/>
    <w:rsid w:val="009863D1"/>
    <w:rsid w:val="00987597"/>
    <w:rsid w:val="009915D6"/>
    <w:rsid w:val="00991808"/>
    <w:rsid w:val="00993F3C"/>
    <w:rsid w:val="009A60DF"/>
    <w:rsid w:val="009A7916"/>
    <w:rsid w:val="009B1311"/>
    <w:rsid w:val="009B39D4"/>
    <w:rsid w:val="009C0E5C"/>
    <w:rsid w:val="009C0FFC"/>
    <w:rsid w:val="009D113A"/>
    <w:rsid w:val="009D17BE"/>
    <w:rsid w:val="009D3287"/>
    <w:rsid w:val="009D480E"/>
    <w:rsid w:val="009D7623"/>
    <w:rsid w:val="009E09F8"/>
    <w:rsid w:val="009E3F39"/>
    <w:rsid w:val="009E684B"/>
    <w:rsid w:val="009F0086"/>
    <w:rsid w:val="009F06AB"/>
    <w:rsid w:val="009F092D"/>
    <w:rsid w:val="009F59EA"/>
    <w:rsid w:val="00A0398D"/>
    <w:rsid w:val="00A04284"/>
    <w:rsid w:val="00A0732B"/>
    <w:rsid w:val="00A111FF"/>
    <w:rsid w:val="00A118FF"/>
    <w:rsid w:val="00A12943"/>
    <w:rsid w:val="00A164FD"/>
    <w:rsid w:val="00A30188"/>
    <w:rsid w:val="00A34DBB"/>
    <w:rsid w:val="00A361E1"/>
    <w:rsid w:val="00A36D25"/>
    <w:rsid w:val="00A3728A"/>
    <w:rsid w:val="00A37952"/>
    <w:rsid w:val="00A403E3"/>
    <w:rsid w:val="00A40712"/>
    <w:rsid w:val="00A53A11"/>
    <w:rsid w:val="00A55B0B"/>
    <w:rsid w:val="00A60E6E"/>
    <w:rsid w:val="00A840F5"/>
    <w:rsid w:val="00A868FF"/>
    <w:rsid w:val="00A9510F"/>
    <w:rsid w:val="00A955AE"/>
    <w:rsid w:val="00A95CC0"/>
    <w:rsid w:val="00A96109"/>
    <w:rsid w:val="00AA282B"/>
    <w:rsid w:val="00AA68B1"/>
    <w:rsid w:val="00AB5181"/>
    <w:rsid w:val="00AB574E"/>
    <w:rsid w:val="00AB7383"/>
    <w:rsid w:val="00AC3470"/>
    <w:rsid w:val="00AC53AC"/>
    <w:rsid w:val="00AC56F1"/>
    <w:rsid w:val="00AC717D"/>
    <w:rsid w:val="00AD0ADE"/>
    <w:rsid w:val="00AD26D2"/>
    <w:rsid w:val="00AD2DA0"/>
    <w:rsid w:val="00AD4617"/>
    <w:rsid w:val="00AD51BA"/>
    <w:rsid w:val="00AE2F87"/>
    <w:rsid w:val="00AE78D4"/>
    <w:rsid w:val="00B03381"/>
    <w:rsid w:val="00B03F8E"/>
    <w:rsid w:val="00B041C8"/>
    <w:rsid w:val="00B04EF8"/>
    <w:rsid w:val="00B05598"/>
    <w:rsid w:val="00B104A8"/>
    <w:rsid w:val="00B11E5C"/>
    <w:rsid w:val="00B13FF6"/>
    <w:rsid w:val="00B149E4"/>
    <w:rsid w:val="00B22995"/>
    <w:rsid w:val="00B26A26"/>
    <w:rsid w:val="00B32C33"/>
    <w:rsid w:val="00B33E69"/>
    <w:rsid w:val="00B34528"/>
    <w:rsid w:val="00B34F1E"/>
    <w:rsid w:val="00B42B3A"/>
    <w:rsid w:val="00B430C4"/>
    <w:rsid w:val="00B50AD7"/>
    <w:rsid w:val="00B51400"/>
    <w:rsid w:val="00B52902"/>
    <w:rsid w:val="00B52CE9"/>
    <w:rsid w:val="00B57AB6"/>
    <w:rsid w:val="00B658AA"/>
    <w:rsid w:val="00B67472"/>
    <w:rsid w:val="00B67914"/>
    <w:rsid w:val="00B77F93"/>
    <w:rsid w:val="00B81EEB"/>
    <w:rsid w:val="00B85A36"/>
    <w:rsid w:val="00B91D15"/>
    <w:rsid w:val="00B95B11"/>
    <w:rsid w:val="00BA4C1B"/>
    <w:rsid w:val="00BB0361"/>
    <w:rsid w:val="00BB082A"/>
    <w:rsid w:val="00BD03E4"/>
    <w:rsid w:val="00BD74D7"/>
    <w:rsid w:val="00BE00E0"/>
    <w:rsid w:val="00BE0C99"/>
    <w:rsid w:val="00BE27CC"/>
    <w:rsid w:val="00C04229"/>
    <w:rsid w:val="00C051DA"/>
    <w:rsid w:val="00C0563D"/>
    <w:rsid w:val="00C0731A"/>
    <w:rsid w:val="00C11F8B"/>
    <w:rsid w:val="00C15BDE"/>
    <w:rsid w:val="00C1744B"/>
    <w:rsid w:val="00C177D1"/>
    <w:rsid w:val="00C217A7"/>
    <w:rsid w:val="00C262CB"/>
    <w:rsid w:val="00C27BEA"/>
    <w:rsid w:val="00C31089"/>
    <w:rsid w:val="00C376AA"/>
    <w:rsid w:val="00C429F5"/>
    <w:rsid w:val="00C4482E"/>
    <w:rsid w:val="00C45678"/>
    <w:rsid w:val="00C47D3E"/>
    <w:rsid w:val="00C54426"/>
    <w:rsid w:val="00C562EB"/>
    <w:rsid w:val="00C56E3E"/>
    <w:rsid w:val="00C72A1E"/>
    <w:rsid w:val="00C72CF8"/>
    <w:rsid w:val="00C76924"/>
    <w:rsid w:val="00C80742"/>
    <w:rsid w:val="00C82547"/>
    <w:rsid w:val="00C852C6"/>
    <w:rsid w:val="00C9295C"/>
    <w:rsid w:val="00C9664E"/>
    <w:rsid w:val="00C9785E"/>
    <w:rsid w:val="00CA199A"/>
    <w:rsid w:val="00CA1EED"/>
    <w:rsid w:val="00CA5FE6"/>
    <w:rsid w:val="00CA6178"/>
    <w:rsid w:val="00CA7669"/>
    <w:rsid w:val="00CB0884"/>
    <w:rsid w:val="00CB5B5B"/>
    <w:rsid w:val="00CC5603"/>
    <w:rsid w:val="00CD08D2"/>
    <w:rsid w:val="00CE2D6E"/>
    <w:rsid w:val="00CE45C9"/>
    <w:rsid w:val="00CF1EF6"/>
    <w:rsid w:val="00CF307C"/>
    <w:rsid w:val="00CF6220"/>
    <w:rsid w:val="00D1030C"/>
    <w:rsid w:val="00D1081D"/>
    <w:rsid w:val="00D123D9"/>
    <w:rsid w:val="00D135F3"/>
    <w:rsid w:val="00D218A1"/>
    <w:rsid w:val="00D264D0"/>
    <w:rsid w:val="00D350B6"/>
    <w:rsid w:val="00D35B91"/>
    <w:rsid w:val="00D35EFE"/>
    <w:rsid w:val="00D50C27"/>
    <w:rsid w:val="00D52A6E"/>
    <w:rsid w:val="00D64272"/>
    <w:rsid w:val="00D64FC7"/>
    <w:rsid w:val="00D71EE0"/>
    <w:rsid w:val="00D7552C"/>
    <w:rsid w:val="00D76003"/>
    <w:rsid w:val="00D76013"/>
    <w:rsid w:val="00D76DD9"/>
    <w:rsid w:val="00D815CE"/>
    <w:rsid w:val="00D85B64"/>
    <w:rsid w:val="00D908D9"/>
    <w:rsid w:val="00D93FDC"/>
    <w:rsid w:val="00DA06E2"/>
    <w:rsid w:val="00DA1C45"/>
    <w:rsid w:val="00DA4AEC"/>
    <w:rsid w:val="00DA72AE"/>
    <w:rsid w:val="00DB29E3"/>
    <w:rsid w:val="00DB404C"/>
    <w:rsid w:val="00DC0DDB"/>
    <w:rsid w:val="00DC1275"/>
    <w:rsid w:val="00DC29C7"/>
    <w:rsid w:val="00DC430E"/>
    <w:rsid w:val="00DC5DA1"/>
    <w:rsid w:val="00DC7DB7"/>
    <w:rsid w:val="00DD0E80"/>
    <w:rsid w:val="00DD3EAD"/>
    <w:rsid w:val="00DD54B8"/>
    <w:rsid w:val="00DD7675"/>
    <w:rsid w:val="00DD790D"/>
    <w:rsid w:val="00DE07FD"/>
    <w:rsid w:val="00DE65C7"/>
    <w:rsid w:val="00DE73D5"/>
    <w:rsid w:val="00E04AC2"/>
    <w:rsid w:val="00E06E46"/>
    <w:rsid w:val="00E22D86"/>
    <w:rsid w:val="00E33300"/>
    <w:rsid w:val="00E36E1D"/>
    <w:rsid w:val="00E37351"/>
    <w:rsid w:val="00E37BC7"/>
    <w:rsid w:val="00E427B6"/>
    <w:rsid w:val="00E4381C"/>
    <w:rsid w:val="00E50557"/>
    <w:rsid w:val="00E54F39"/>
    <w:rsid w:val="00E55A35"/>
    <w:rsid w:val="00E63A46"/>
    <w:rsid w:val="00E6435B"/>
    <w:rsid w:val="00E65078"/>
    <w:rsid w:val="00E70C23"/>
    <w:rsid w:val="00E7230C"/>
    <w:rsid w:val="00E7434C"/>
    <w:rsid w:val="00E773C0"/>
    <w:rsid w:val="00E80865"/>
    <w:rsid w:val="00E80BBB"/>
    <w:rsid w:val="00E8216C"/>
    <w:rsid w:val="00E82DF8"/>
    <w:rsid w:val="00E842F7"/>
    <w:rsid w:val="00E846D6"/>
    <w:rsid w:val="00E84C7F"/>
    <w:rsid w:val="00E84DE3"/>
    <w:rsid w:val="00E86AAE"/>
    <w:rsid w:val="00E91133"/>
    <w:rsid w:val="00EA48E5"/>
    <w:rsid w:val="00EA4B67"/>
    <w:rsid w:val="00EA66E1"/>
    <w:rsid w:val="00EB1896"/>
    <w:rsid w:val="00EB4769"/>
    <w:rsid w:val="00EB6EA4"/>
    <w:rsid w:val="00EC1108"/>
    <w:rsid w:val="00EC4514"/>
    <w:rsid w:val="00ED11E2"/>
    <w:rsid w:val="00ED2524"/>
    <w:rsid w:val="00ED38B9"/>
    <w:rsid w:val="00ED4278"/>
    <w:rsid w:val="00ED75B7"/>
    <w:rsid w:val="00EF56A2"/>
    <w:rsid w:val="00F00D85"/>
    <w:rsid w:val="00F01EAE"/>
    <w:rsid w:val="00F11780"/>
    <w:rsid w:val="00F14CD9"/>
    <w:rsid w:val="00F21160"/>
    <w:rsid w:val="00F23B85"/>
    <w:rsid w:val="00F2482B"/>
    <w:rsid w:val="00F27108"/>
    <w:rsid w:val="00F31FD1"/>
    <w:rsid w:val="00F40E0C"/>
    <w:rsid w:val="00F45276"/>
    <w:rsid w:val="00F47C76"/>
    <w:rsid w:val="00F63F03"/>
    <w:rsid w:val="00F664CC"/>
    <w:rsid w:val="00F70599"/>
    <w:rsid w:val="00F72C5B"/>
    <w:rsid w:val="00F81F44"/>
    <w:rsid w:val="00F85373"/>
    <w:rsid w:val="00F91805"/>
    <w:rsid w:val="00F92812"/>
    <w:rsid w:val="00F92E6F"/>
    <w:rsid w:val="00F95334"/>
    <w:rsid w:val="00F95BCC"/>
    <w:rsid w:val="00F97DD5"/>
    <w:rsid w:val="00FA1831"/>
    <w:rsid w:val="00FA20F5"/>
    <w:rsid w:val="00FA309B"/>
    <w:rsid w:val="00FA4C41"/>
    <w:rsid w:val="00FB1A75"/>
    <w:rsid w:val="00FB2CC9"/>
    <w:rsid w:val="00FB3280"/>
    <w:rsid w:val="00FB3FA6"/>
    <w:rsid w:val="00FB65A6"/>
    <w:rsid w:val="00FC4E77"/>
    <w:rsid w:val="00FC60B9"/>
    <w:rsid w:val="00FD1C8B"/>
    <w:rsid w:val="00FD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A1F21"/>
  <w15:chartTrackingRefBased/>
  <w15:docId w15:val="{24C5462F-F701-4B93-99E1-A2816C89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EF56A2"/>
    <w:pPr>
      <w:keepNext/>
      <w:spacing w:before="240" w:after="0" w:line="360" w:lineRule="atLeast"/>
      <w:jc w:val="both"/>
      <w:outlineLvl w:val="6"/>
    </w:pPr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82A"/>
  </w:style>
  <w:style w:type="paragraph" w:styleId="Pidipagina">
    <w:name w:val="footer"/>
    <w:basedOn w:val="Normale"/>
    <w:link w:val="Pidipagina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82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0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082A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7E407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257A47"/>
  </w:style>
  <w:style w:type="character" w:styleId="Rimandocommento">
    <w:name w:val="annotation reference"/>
    <w:basedOn w:val="Carpredefinitoparagrafo"/>
    <w:uiPriority w:val="99"/>
    <w:semiHidden/>
    <w:unhideWhenUsed/>
    <w:rsid w:val="001540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409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409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40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4096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C29C7"/>
    <w:pPr>
      <w:spacing w:after="0" w:line="240" w:lineRule="auto"/>
    </w:pPr>
  </w:style>
  <w:style w:type="paragraph" w:styleId="Corpodeltesto2">
    <w:name w:val="Body Text 2"/>
    <w:basedOn w:val="Normale"/>
    <w:link w:val="Corpodeltesto2Carattere"/>
    <w:uiPriority w:val="99"/>
    <w:rsid w:val="00371A70"/>
    <w:pPr>
      <w:spacing w:after="0" w:line="240" w:lineRule="auto"/>
    </w:pPr>
    <w:rPr>
      <w:rFonts w:ascii="Tahoma" w:eastAsia="Times New Roman" w:hAnsi="Tahoma" w:cs="Tahoma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71A70"/>
    <w:rPr>
      <w:rFonts w:ascii="Tahoma" w:eastAsia="Times New Roman" w:hAnsi="Tahoma" w:cs="Tahoma"/>
      <w:sz w:val="20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EF56A2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3F0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3F0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3F03"/>
    <w:rPr>
      <w:vertAlign w:val="superscript"/>
    </w:rPr>
  </w:style>
  <w:style w:type="table" w:styleId="Grigliatabella">
    <w:name w:val="Table Grid"/>
    <w:basedOn w:val="Tabellanormale"/>
    <w:uiPriority w:val="39"/>
    <w:rsid w:val="00010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E414C-2E2F-49B9-A1B2-990DDA1639CC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  <ds:schemaRef ds:uri="2f5fb9cb-cdab-49af-8b62-9a7eef97e75f"/>
    <ds:schemaRef ds:uri="b79bf960-a57d-4bc8-a65c-0bde4577c7cf"/>
  </ds:schemaRefs>
</ds:datastoreItem>
</file>

<file path=customXml/itemProps2.xml><?xml version="1.0" encoding="utf-8"?>
<ds:datastoreItem xmlns:ds="http://schemas.openxmlformats.org/officeDocument/2006/customXml" ds:itemID="{70A25EC1-EFD3-49F1-87B0-16FD881E6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794EB-6D90-4B0B-8725-DFD6EBC6E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F5BBF0-B274-4084-ACCF-B2C27ACB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13</Pages>
  <Words>2238</Words>
  <Characters>12759</Characters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2021-07-20T11:27:00Z</dcterms:created>
  <dcterms:modified xsi:type="dcterms:W3CDTF">2024-10-03T14:29:00Z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